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4B374" w14:textId="4909437E" w:rsidR="001F5A17" w:rsidRDefault="001F5A17">
      <w:pPr>
        <w:pStyle w:val="Overskrift1"/>
        <w:rPr>
          <w:rFonts w:cstheme="majorHAnsi"/>
          <w:color w:val="000000" w:themeColor="text1"/>
          <w:lang w:val="nb-NO"/>
        </w:rPr>
      </w:pPr>
      <w:r>
        <w:rPr>
          <w:rFonts w:cstheme="majorHAnsi"/>
          <w:noProof/>
          <w:color w:val="000000" w:themeColor="text1"/>
          <w:lang w:val="nb-NO"/>
        </w:rPr>
        <w:drawing>
          <wp:inline distT="0" distB="0" distL="0" distR="0" wp14:anchorId="036F0FB2" wp14:editId="761EDC7B">
            <wp:extent cx="5486400" cy="1257935"/>
            <wp:effectExtent l="0" t="0" r="0" b="0"/>
            <wp:docPr id="1919182113" name="Bilde 1" descr="Et bilde som inneholder skjermbilde, sirkel, logo, symbol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182113" name="Bilde 1" descr="Et bilde som inneholder skjermbilde, sirkel, logo, symbol&#10;&#10;KI-generert innhold kan være feil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57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4BF21" w14:textId="5C9646BD" w:rsidR="002A724A" w:rsidRPr="004511BC" w:rsidRDefault="00081833">
      <w:pPr>
        <w:pStyle w:val="Overskrift1"/>
        <w:rPr>
          <w:rFonts w:cstheme="majorHAnsi"/>
          <w:color w:val="000000" w:themeColor="text1"/>
          <w:lang w:val="nb-NO"/>
        </w:rPr>
      </w:pPr>
      <w:r w:rsidRPr="004511BC">
        <w:rPr>
          <w:rFonts w:cstheme="majorHAnsi"/>
          <w:color w:val="000000" w:themeColor="text1"/>
          <w:lang w:val="nb-NO"/>
        </w:rPr>
        <w:t>Innspill til BPA-utvalget</w:t>
      </w:r>
    </w:p>
    <w:p w14:paraId="0275205F" w14:textId="77777777" w:rsidR="002A724A" w:rsidRPr="004511BC" w:rsidRDefault="00000000">
      <w:pPr>
        <w:rPr>
          <w:rFonts w:asciiTheme="majorHAnsi" w:hAnsiTheme="majorHAnsi" w:cstheme="majorHAnsi"/>
          <w:sz w:val="28"/>
          <w:szCs w:val="28"/>
          <w:lang w:val="nb-NO"/>
        </w:rPr>
      </w:pPr>
      <w:r w:rsidRPr="004511BC">
        <w:rPr>
          <w:rFonts w:asciiTheme="majorHAnsi" w:hAnsiTheme="majorHAnsi" w:cstheme="majorHAnsi"/>
          <w:sz w:val="28"/>
          <w:szCs w:val="28"/>
          <w:lang w:val="nb-NO"/>
        </w:rPr>
        <w:br/>
        <w:t>BPA for barn og unge – en forutsetning for familieliv, utvikling og deltakelse</w:t>
      </w:r>
    </w:p>
    <w:p w14:paraId="387F006F" w14:textId="5EF2A7A2" w:rsidR="002A724A" w:rsidRPr="004511BC" w:rsidRDefault="00000000">
      <w:pPr>
        <w:rPr>
          <w:rFonts w:asciiTheme="majorHAnsi" w:hAnsiTheme="majorHAnsi" w:cstheme="majorHAnsi"/>
          <w:sz w:val="28"/>
          <w:szCs w:val="28"/>
          <w:lang w:val="nb-NO"/>
        </w:rPr>
      </w:pPr>
      <w:r w:rsidRPr="004511BC">
        <w:rPr>
          <w:rFonts w:asciiTheme="majorHAnsi" w:hAnsiTheme="majorHAnsi" w:cstheme="majorHAnsi"/>
          <w:sz w:val="28"/>
          <w:szCs w:val="28"/>
          <w:lang w:val="nb-NO"/>
        </w:rPr>
        <w:t>Løvemammaene representerer foreldre til barn og unge med alvorlig sykdom og funksjons</w:t>
      </w:r>
      <w:r w:rsidR="00081833" w:rsidRPr="004511BC">
        <w:rPr>
          <w:rFonts w:asciiTheme="majorHAnsi" w:hAnsiTheme="majorHAnsi" w:cstheme="majorHAnsi"/>
          <w:sz w:val="28"/>
          <w:szCs w:val="28"/>
          <w:lang w:val="nb-NO"/>
        </w:rPr>
        <w:t>hinder</w:t>
      </w:r>
      <w:r w:rsidRPr="004511BC">
        <w:rPr>
          <w:rFonts w:asciiTheme="majorHAnsi" w:hAnsiTheme="majorHAnsi" w:cstheme="majorHAnsi"/>
          <w:sz w:val="28"/>
          <w:szCs w:val="28"/>
          <w:lang w:val="nb-NO"/>
        </w:rPr>
        <w:t xml:space="preserve">. For våre familier handler BPA ikke </w:t>
      </w:r>
      <w:r w:rsidR="00081833" w:rsidRPr="004511BC">
        <w:rPr>
          <w:rFonts w:asciiTheme="majorHAnsi" w:hAnsiTheme="majorHAnsi" w:cstheme="majorHAnsi"/>
          <w:sz w:val="28"/>
          <w:szCs w:val="28"/>
          <w:lang w:val="nb-NO"/>
        </w:rPr>
        <w:t>bare om</w:t>
      </w:r>
      <w:r w:rsidRPr="004511BC">
        <w:rPr>
          <w:rFonts w:asciiTheme="majorHAnsi" w:hAnsiTheme="majorHAnsi" w:cstheme="majorHAnsi"/>
          <w:sz w:val="28"/>
          <w:szCs w:val="28"/>
          <w:lang w:val="nb-NO"/>
        </w:rPr>
        <w:t xml:space="preserve"> valgfrihet i hverdagen – men om hvorvidt barnet får et liv med utvikling, trygghet og deltakelse, og om familien har krefter til å stå i omsorgen over tid.</w:t>
      </w:r>
      <w:r w:rsidR="004511BC" w:rsidRPr="004511BC">
        <w:rPr>
          <w:rFonts w:asciiTheme="majorHAnsi" w:hAnsiTheme="majorHAnsi" w:cstheme="majorHAnsi"/>
          <w:sz w:val="28"/>
          <w:szCs w:val="28"/>
          <w:lang w:val="nb-NO"/>
        </w:rPr>
        <w:t xml:space="preserve"> Vi har barn som rekker å dø før kommunen har fattet vedtak om nødvendige og forsvarlige tjenester.</w:t>
      </w:r>
    </w:p>
    <w:p w14:paraId="7B40659B" w14:textId="77777777" w:rsidR="002A724A" w:rsidRPr="004511BC" w:rsidRDefault="00000000">
      <w:pPr>
        <w:rPr>
          <w:rFonts w:asciiTheme="majorHAnsi" w:hAnsiTheme="majorHAnsi" w:cstheme="majorHAnsi"/>
          <w:b/>
          <w:bCs/>
          <w:sz w:val="28"/>
          <w:szCs w:val="28"/>
          <w:lang w:val="nb-NO"/>
        </w:rPr>
      </w:pPr>
      <w:r w:rsidRPr="004511BC">
        <w:rPr>
          <w:rFonts w:asciiTheme="majorHAnsi" w:hAnsiTheme="majorHAnsi" w:cstheme="majorHAnsi"/>
          <w:b/>
          <w:bCs/>
          <w:sz w:val="28"/>
          <w:szCs w:val="28"/>
          <w:lang w:val="nb-NO"/>
        </w:rPr>
        <w:t>1. Fordeler og ulemper med dagens BPA-ordning</w:t>
      </w:r>
    </w:p>
    <w:p w14:paraId="7086EFDB" w14:textId="61AE3294" w:rsidR="002A724A" w:rsidRPr="004511BC" w:rsidRDefault="00000000">
      <w:pPr>
        <w:rPr>
          <w:rFonts w:asciiTheme="majorHAnsi" w:hAnsiTheme="majorHAnsi" w:cstheme="majorHAnsi"/>
          <w:sz w:val="28"/>
          <w:szCs w:val="28"/>
          <w:lang w:val="nb-NO"/>
        </w:rPr>
      </w:pPr>
      <w:r w:rsidRPr="004511BC">
        <w:rPr>
          <w:rFonts w:asciiTheme="majorHAnsi" w:hAnsiTheme="majorHAnsi" w:cstheme="majorHAnsi"/>
          <w:sz w:val="28"/>
          <w:szCs w:val="28"/>
          <w:lang w:val="nb-NO"/>
        </w:rPr>
        <w:t xml:space="preserve">Når BPA fungerer for barn og unge, er det en svært god ordning. Den </w:t>
      </w:r>
      <w:r w:rsidR="00081833" w:rsidRPr="004511BC">
        <w:rPr>
          <w:rFonts w:asciiTheme="majorHAnsi" w:hAnsiTheme="majorHAnsi" w:cstheme="majorHAnsi"/>
          <w:sz w:val="28"/>
          <w:szCs w:val="28"/>
          <w:lang w:val="nb-NO"/>
        </w:rPr>
        <w:t>gir</w:t>
      </w:r>
      <w:r w:rsidRPr="004511BC">
        <w:rPr>
          <w:rFonts w:asciiTheme="majorHAnsi" w:hAnsiTheme="majorHAnsi" w:cstheme="majorHAnsi"/>
          <w:sz w:val="28"/>
          <w:szCs w:val="28"/>
          <w:lang w:val="nb-NO"/>
        </w:rPr>
        <w:t xml:space="preserve"> barnet kontinuitet og trygghet, mulighet til å delta i barnehage, skole og fritid, mindre belastning på foreldre og et mer normalt familieliv – også for søsken.</w:t>
      </w:r>
    </w:p>
    <w:p w14:paraId="03AC8AD7" w14:textId="1DBC2F60" w:rsidR="002A724A" w:rsidRPr="004511BC" w:rsidRDefault="00000000">
      <w:pPr>
        <w:rPr>
          <w:rFonts w:asciiTheme="majorHAnsi" w:hAnsiTheme="majorHAnsi" w:cstheme="majorHAnsi"/>
          <w:sz w:val="28"/>
          <w:szCs w:val="28"/>
          <w:lang w:val="nb-NO"/>
        </w:rPr>
      </w:pPr>
      <w:r w:rsidRPr="004511BC">
        <w:rPr>
          <w:rFonts w:asciiTheme="majorHAnsi" w:hAnsiTheme="majorHAnsi" w:cstheme="majorHAnsi"/>
          <w:sz w:val="28"/>
          <w:szCs w:val="28"/>
          <w:lang w:val="nb-NO"/>
        </w:rPr>
        <w:t>Men i praksis er dagens ordning uforutsigbar og urettferdig. Den største ulempen er at kommunen avgjør barnets livsrammer. En stor andel klagesaker blir opphevet eller endret hos Statsforvalteren</w:t>
      </w:r>
      <w:r w:rsidR="00081833" w:rsidRPr="004511BC">
        <w:rPr>
          <w:rFonts w:asciiTheme="majorHAnsi" w:hAnsiTheme="majorHAnsi" w:cstheme="majorHAnsi"/>
          <w:sz w:val="28"/>
          <w:szCs w:val="28"/>
          <w:lang w:val="nb-NO"/>
        </w:rPr>
        <w:t>, men dessverre ser vi at kommunene sjeldent lager det vedtaket Statsforvalter peker på og bruker enda lenger tid på å gi barnet nødvendige og forsvarlige tjenester</w:t>
      </w:r>
      <w:r w:rsidRPr="004511BC">
        <w:rPr>
          <w:rFonts w:asciiTheme="majorHAnsi" w:hAnsiTheme="majorHAnsi" w:cstheme="majorHAnsi"/>
          <w:sz w:val="28"/>
          <w:szCs w:val="28"/>
          <w:lang w:val="nb-NO"/>
        </w:rPr>
        <w:t xml:space="preserve">. Barn har ikke tid til å vente på </w:t>
      </w:r>
      <w:r w:rsidR="00081833" w:rsidRPr="004511BC">
        <w:rPr>
          <w:rFonts w:asciiTheme="majorHAnsi" w:hAnsiTheme="majorHAnsi" w:cstheme="majorHAnsi"/>
          <w:sz w:val="28"/>
          <w:szCs w:val="28"/>
          <w:lang w:val="nb-NO"/>
        </w:rPr>
        <w:t xml:space="preserve">denne </w:t>
      </w:r>
      <w:r w:rsidRPr="004511BC">
        <w:rPr>
          <w:rFonts w:asciiTheme="majorHAnsi" w:hAnsiTheme="majorHAnsi" w:cstheme="majorHAnsi"/>
          <w:sz w:val="28"/>
          <w:szCs w:val="28"/>
          <w:lang w:val="nb-NO"/>
        </w:rPr>
        <w:t>klagebehandling</w:t>
      </w:r>
      <w:r w:rsidR="00081833" w:rsidRPr="004511BC">
        <w:rPr>
          <w:rFonts w:asciiTheme="majorHAnsi" w:hAnsiTheme="majorHAnsi" w:cstheme="majorHAnsi"/>
          <w:sz w:val="28"/>
          <w:szCs w:val="28"/>
          <w:lang w:val="nb-NO"/>
        </w:rPr>
        <w:t>!</w:t>
      </w:r>
    </w:p>
    <w:p w14:paraId="0D570B56" w14:textId="77777777" w:rsidR="002A724A" w:rsidRPr="004511BC" w:rsidRDefault="00000000">
      <w:pPr>
        <w:rPr>
          <w:rFonts w:asciiTheme="majorHAnsi" w:hAnsiTheme="majorHAnsi" w:cstheme="majorHAnsi"/>
          <w:b/>
          <w:bCs/>
          <w:sz w:val="28"/>
          <w:szCs w:val="28"/>
          <w:lang w:val="nb-NO"/>
        </w:rPr>
      </w:pPr>
      <w:r w:rsidRPr="004511BC">
        <w:rPr>
          <w:rFonts w:asciiTheme="majorHAnsi" w:hAnsiTheme="majorHAnsi" w:cstheme="majorHAnsi"/>
          <w:b/>
          <w:bCs/>
          <w:sz w:val="28"/>
          <w:szCs w:val="28"/>
          <w:lang w:val="nb-NO"/>
        </w:rPr>
        <w:t>2. Hva har endret seg siden 2021?</w:t>
      </w:r>
    </w:p>
    <w:p w14:paraId="5F5AA2AE" w14:textId="151F2AB9" w:rsidR="002A724A" w:rsidRPr="004511BC" w:rsidRDefault="00000000">
      <w:pPr>
        <w:rPr>
          <w:rFonts w:asciiTheme="majorHAnsi" w:hAnsiTheme="majorHAnsi" w:cstheme="majorHAnsi"/>
          <w:sz w:val="28"/>
          <w:szCs w:val="28"/>
          <w:lang w:val="nb-NO"/>
        </w:rPr>
      </w:pPr>
      <w:r w:rsidRPr="004511BC">
        <w:rPr>
          <w:rFonts w:asciiTheme="majorHAnsi" w:hAnsiTheme="majorHAnsi" w:cstheme="majorHAnsi"/>
          <w:sz w:val="28"/>
          <w:szCs w:val="28"/>
          <w:lang w:val="nb-NO"/>
        </w:rPr>
        <w:lastRenderedPageBreak/>
        <w:t>Siden 2021 har vi sett strammere kommuneøkonomi, mer restriktiv praksis og økt bruk av minimumsløsninger. Samtidig har behovene blitt mer komplekse</w:t>
      </w:r>
      <w:r w:rsidR="00081833" w:rsidRPr="004511BC">
        <w:rPr>
          <w:rFonts w:asciiTheme="majorHAnsi" w:hAnsiTheme="majorHAnsi" w:cstheme="majorHAnsi"/>
          <w:sz w:val="28"/>
          <w:szCs w:val="28"/>
          <w:lang w:val="nb-NO"/>
        </w:rPr>
        <w:t xml:space="preserve"> - fler av våre barn overlever nå enn før og dette har vi ropet høyt om lenge.</w:t>
      </w:r>
    </w:p>
    <w:p w14:paraId="331FCF25" w14:textId="77777777" w:rsidR="002A724A" w:rsidRPr="004511BC" w:rsidRDefault="00000000">
      <w:pPr>
        <w:rPr>
          <w:rFonts w:asciiTheme="majorHAnsi" w:hAnsiTheme="majorHAnsi" w:cstheme="majorHAnsi"/>
          <w:b/>
          <w:bCs/>
          <w:sz w:val="28"/>
          <w:szCs w:val="28"/>
          <w:lang w:val="nb-NO"/>
        </w:rPr>
      </w:pPr>
      <w:r w:rsidRPr="004511BC">
        <w:rPr>
          <w:rFonts w:asciiTheme="majorHAnsi" w:hAnsiTheme="majorHAnsi" w:cstheme="majorHAnsi"/>
          <w:b/>
          <w:bCs/>
          <w:sz w:val="28"/>
          <w:szCs w:val="28"/>
          <w:lang w:val="nb-NO"/>
        </w:rPr>
        <w:t>3. Utviklingstrekk fremover</w:t>
      </w:r>
    </w:p>
    <w:p w14:paraId="665A816D" w14:textId="46E9D74A" w:rsidR="002A724A" w:rsidRPr="004511BC" w:rsidRDefault="00081833">
      <w:pPr>
        <w:rPr>
          <w:rFonts w:asciiTheme="majorHAnsi" w:hAnsiTheme="majorHAnsi" w:cstheme="majorHAnsi"/>
          <w:sz w:val="28"/>
          <w:szCs w:val="28"/>
          <w:lang w:val="nb-NO"/>
        </w:rPr>
      </w:pPr>
      <w:r w:rsidRPr="004511BC">
        <w:rPr>
          <w:rFonts w:asciiTheme="majorHAnsi" w:hAnsiTheme="majorHAnsi" w:cstheme="majorHAnsi"/>
          <w:sz w:val="28"/>
          <w:szCs w:val="28"/>
          <w:lang w:val="nb-NO"/>
        </w:rPr>
        <w:t>Med de erfaringene vi har nå er svært bekymret for at BPA for barn og unge utvikler seg til å bli en knapp ressurs vurdert primært ut fra kostnad, ikke barnets beste. Vår neste bekymring er barn og unge med alvorlig sykdom og sammensatte behov. I dag er det kommunen som får lov å definere hva som regnes som helsehjelp. Vi mener bestemt at BPA aldri kan kalles et likestillingsverktøy med mindre helsehjelp blir godtatt inn i lovverket! Vi sier det igjen: Hvis vi foreldre kan få opplæring på våre barn - kan BPA-assistenter få den samme opplæringen.</w:t>
      </w:r>
      <w:r w:rsidR="004511BC" w:rsidRPr="004511BC">
        <w:rPr>
          <w:rFonts w:asciiTheme="majorHAnsi" w:hAnsiTheme="majorHAnsi" w:cstheme="majorHAnsi"/>
          <w:sz w:val="28"/>
          <w:szCs w:val="28"/>
          <w:lang w:val="nb-NO"/>
        </w:rPr>
        <w:t xml:space="preserve"> </w:t>
      </w:r>
    </w:p>
    <w:p w14:paraId="39241B46" w14:textId="77777777" w:rsidR="002A724A" w:rsidRPr="004511BC" w:rsidRDefault="00000000">
      <w:pPr>
        <w:rPr>
          <w:rFonts w:asciiTheme="majorHAnsi" w:hAnsiTheme="majorHAnsi" w:cstheme="majorHAnsi"/>
          <w:b/>
          <w:bCs/>
          <w:sz w:val="28"/>
          <w:szCs w:val="28"/>
          <w:lang w:val="nb-NO"/>
        </w:rPr>
      </w:pPr>
      <w:r w:rsidRPr="004511BC">
        <w:rPr>
          <w:rFonts w:asciiTheme="majorHAnsi" w:hAnsiTheme="majorHAnsi" w:cstheme="majorHAnsi"/>
          <w:b/>
          <w:bCs/>
          <w:sz w:val="28"/>
          <w:szCs w:val="28"/>
          <w:lang w:val="nb-NO"/>
        </w:rPr>
        <w:t>4. Rekruttering av assistenter</w:t>
      </w:r>
    </w:p>
    <w:p w14:paraId="39371CC1" w14:textId="48D49D90" w:rsidR="002A724A" w:rsidRPr="004511BC" w:rsidRDefault="00000000">
      <w:pPr>
        <w:rPr>
          <w:rFonts w:asciiTheme="majorHAnsi" w:hAnsiTheme="majorHAnsi" w:cstheme="majorHAnsi"/>
          <w:sz w:val="28"/>
          <w:szCs w:val="28"/>
          <w:lang w:val="nb-NO"/>
        </w:rPr>
      </w:pPr>
      <w:r w:rsidRPr="004511BC">
        <w:rPr>
          <w:rFonts w:asciiTheme="majorHAnsi" w:hAnsiTheme="majorHAnsi" w:cstheme="majorHAnsi"/>
          <w:sz w:val="28"/>
          <w:szCs w:val="28"/>
          <w:lang w:val="nb-NO"/>
        </w:rPr>
        <w:t>Rekrutteringssituasjonen er svært ulik i landet. Stabilitet og kompetanse er avgjørende for barn med store behov, men undergraves av små og uforutsigbare vedtak.</w:t>
      </w:r>
      <w:r w:rsidR="00081833" w:rsidRPr="004511BC">
        <w:rPr>
          <w:rFonts w:asciiTheme="majorHAnsi" w:hAnsiTheme="majorHAnsi" w:cstheme="majorHAnsi"/>
          <w:sz w:val="28"/>
          <w:szCs w:val="28"/>
          <w:lang w:val="nb-NO"/>
        </w:rPr>
        <w:t xml:space="preserve"> Vi ser også problematisk på at BPA-lønnene ikke stiler med den jobb som utføres og derfor står i risiko for turnover.</w:t>
      </w:r>
    </w:p>
    <w:p w14:paraId="1256E72A" w14:textId="77777777" w:rsidR="002A724A" w:rsidRPr="004511BC" w:rsidRDefault="00000000">
      <w:pPr>
        <w:rPr>
          <w:rFonts w:asciiTheme="majorHAnsi" w:hAnsiTheme="majorHAnsi" w:cstheme="majorHAnsi"/>
          <w:b/>
          <w:bCs/>
          <w:sz w:val="28"/>
          <w:szCs w:val="28"/>
          <w:lang w:val="nb-NO"/>
        </w:rPr>
      </w:pPr>
      <w:r w:rsidRPr="004511BC">
        <w:rPr>
          <w:rFonts w:asciiTheme="majorHAnsi" w:hAnsiTheme="majorHAnsi" w:cstheme="majorHAnsi"/>
          <w:b/>
          <w:bCs/>
          <w:sz w:val="28"/>
          <w:szCs w:val="28"/>
          <w:lang w:val="nb-NO"/>
        </w:rPr>
        <w:t>5. Finansieringsmodell</w:t>
      </w:r>
    </w:p>
    <w:p w14:paraId="2AEF01F0" w14:textId="77777777" w:rsidR="002A724A" w:rsidRPr="004511BC" w:rsidRDefault="00000000">
      <w:pPr>
        <w:rPr>
          <w:rFonts w:asciiTheme="majorHAnsi" w:hAnsiTheme="majorHAnsi" w:cstheme="majorHAnsi"/>
          <w:sz w:val="28"/>
          <w:szCs w:val="28"/>
          <w:lang w:val="nb-NO"/>
        </w:rPr>
      </w:pPr>
      <w:r w:rsidRPr="004511BC">
        <w:rPr>
          <w:rFonts w:asciiTheme="majorHAnsi" w:hAnsiTheme="majorHAnsi" w:cstheme="majorHAnsi"/>
          <w:sz w:val="28"/>
          <w:szCs w:val="28"/>
          <w:lang w:val="nb-NO"/>
        </w:rPr>
        <w:t>Dagens finansieringsmodell skaper store forskjeller. Mange familier får akkurat nok hjelp til å overleve, men ikke til å leve.</w:t>
      </w:r>
    </w:p>
    <w:p w14:paraId="2E2A1933" w14:textId="77777777" w:rsidR="002A724A" w:rsidRPr="004511BC" w:rsidRDefault="00000000">
      <w:pPr>
        <w:rPr>
          <w:rFonts w:asciiTheme="majorHAnsi" w:hAnsiTheme="majorHAnsi" w:cstheme="majorHAnsi"/>
          <w:b/>
          <w:bCs/>
          <w:sz w:val="28"/>
          <w:szCs w:val="28"/>
          <w:lang w:val="nb-NO"/>
        </w:rPr>
      </w:pPr>
      <w:r w:rsidRPr="004511BC">
        <w:rPr>
          <w:rFonts w:asciiTheme="majorHAnsi" w:hAnsiTheme="majorHAnsi" w:cstheme="majorHAnsi"/>
          <w:b/>
          <w:bCs/>
          <w:sz w:val="28"/>
          <w:szCs w:val="28"/>
          <w:lang w:val="nb-NO"/>
        </w:rPr>
        <w:t>6. Samordning</w:t>
      </w:r>
    </w:p>
    <w:p w14:paraId="2015782B" w14:textId="0AF3FA0E" w:rsidR="002A724A" w:rsidRPr="004511BC" w:rsidRDefault="00081833">
      <w:pPr>
        <w:rPr>
          <w:rFonts w:asciiTheme="majorHAnsi" w:hAnsiTheme="majorHAnsi" w:cstheme="majorHAnsi"/>
          <w:sz w:val="28"/>
          <w:szCs w:val="28"/>
          <w:lang w:val="nb-NO"/>
        </w:rPr>
      </w:pPr>
      <w:r w:rsidRPr="004511BC">
        <w:rPr>
          <w:rFonts w:asciiTheme="majorHAnsi" w:hAnsiTheme="majorHAnsi" w:cstheme="majorHAnsi"/>
          <w:sz w:val="28"/>
          <w:szCs w:val="28"/>
          <w:lang w:val="nb-NO"/>
        </w:rPr>
        <w:t>Det enkle svaret er kommunikasjon. Norge kritiseres ofte for at instanser og etater ikke samsnakker - det samme gjelder for BPA.</w:t>
      </w:r>
      <w:r w:rsidR="003626C0" w:rsidRPr="004511BC">
        <w:rPr>
          <w:rFonts w:asciiTheme="majorHAnsi" w:hAnsiTheme="majorHAnsi" w:cstheme="majorHAnsi"/>
          <w:sz w:val="28"/>
          <w:szCs w:val="28"/>
          <w:lang w:val="nb-NO"/>
        </w:rPr>
        <w:t xml:space="preserve"> </w:t>
      </w:r>
      <w:r w:rsidR="003626C0" w:rsidRPr="004511BC">
        <w:rPr>
          <w:rFonts w:asciiTheme="majorHAnsi" w:hAnsiTheme="majorHAnsi" w:cstheme="majorHAnsi"/>
          <w:sz w:val="28"/>
          <w:szCs w:val="28"/>
          <w:lang w:val="nb-NO"/>
        </w:rPr>
        <w:t xml:space="preserve">Vi mener det er essensielt at ulike instanser innad i kommunen samarbeider for å finne best mulig løsning for det barnet de har ansvar for! Vi opplever i dag at f.eks. oppvekst og helse passer på sine egne pengesekker, slik at samarbeidet blir utfordrende og ikke til barnets beste. Vi mener at barn som har behov for kontinuitet i hverdagen også skal få reell mulighet til å bruke BPA i </w:t>
      </w:r>
      <w:r w:rsidR="004511BC" w:rsidRPr="004511BC">
        <w:rPr>
          <w:rFonts w:asciiTheme="majorHAnsi" w:hAnsiTheme="majorHAnsi" w:cstheme="majorHAnsi"/>
          <w:sz w:val="28"/>
          <w:szCs w:val="28"/>
          <w:lang w:val="nb-NO"/>
        </w:rPr>
        <w:lastRenderedPageBreak/>
        <w:t xml:space="preserve">barnehage og </w:t>
      </w:r>
      <w:r w:rsidR="003626C0" w:rsidRPr="004511BC">
        <w:rPr>
          <w:rFonts w:asciiTheme="majorHAnsi" w:hAnsiTheme="majorHAnsi" w:cstheme="majorHAnsi"/>
          <w:sz w:val="28"/>
          <w:szCs w:val="28"/>
          <w:lang w:val="nb-NO"/>
        </w:rPr>
        <w:t>skole, for å sikre en forsvarlig hverdag, reell likestilling og at prinsippet barnets beste blir fulgt</w:t>
      </w:r>
      <w:r w:rsidR="004511BC" w:rsidRPr="004511BC">
        <w:rPr>
          <w:rFonts w:asciiTheme="majorHAnsi" w:hAnsiTheme="majorHAnsi" w:cstheme="majorHAnsi"/>
          <w:sz w:val="28"/>
          <w:szCs w:val="28"/>
          <w:lang w:val="nb-NO"/>
        </w:rPr>
        <w:t>.</w:t>
      </w:r>
    </w:p>
    <w:p w14:paraId="60DA8CC2" w14:textId="77777777" w:rsidR="004511BC" w:rsidRPr="004511BC" w:rsidRDefault="004511BC">
      <w:pPr>
        <w:rPr>
          <w:rFonts w:asciiTheme="majorHAnsi" w:hAnsiTheme="majorHAnsi" w:cstheme="majorHAnsi"/>
          <w:sz w:val="28"/>
          <w:szCs w:val="28"/>
          <w:lang w:val="nb-NO"/>
        </w:rPr>
      </w:pPr>
    </w:p>
    <w:p w14:paraId="154B8D9D" w14:textId="0CE5A0BA" w:rsidR="004511BC" w:rsidRPr="004511BC" w:rsidRDefault="00000000">
      <w:pPr>
        <w:rPr>
          <w:rFonts w:asciiTheme="majorHAnsi" w:hAnsiTheme="majorHAnsi" w:cstheme="majorHAnsi"/>
          <w:sz w:val="28"/>
          <w:szCs w:val="28"/>
          <w:lang w:val="nb-NO"/>
        </w:rPr>
      </w:pPr>
      <w:r w:rsidRPr="004511BC">
        <w:rPr>
          <w:rFonts w:asciiTheme="majorHAnsi" w:hAnsiTheme="majorHAnsi" w:cstheme="majorHAnsi"/>
          <w:sz w:val="28"/>
          <w:szCs w:val="28"/>
          <w:lang w:val="nb-NO"/>
        </w:rPr>
        <w:t>BPA for barn og unge må sikre forutsigbarhet, likhet uavhengig av bosted og reelle muligheter for utvikling og familieliv.</w:t>
      </w:r>
      <w:r w:rsidR="004511BC" w:rsidRPr="004511BC">
        <w:rPr>
          <w:rFonts w:asciiTheme="majorHAnsi" w:hAnsiTheme="majorHAnsi" w:cstheme="majorHAnsi"/>
          <w:sz w:val="28"/>
          <w:szCs w:val="28"/>
          <w:lang w:val="nb-NO"/>
        </w:rPr>
        <w:t xml:space="preserve"> Helsehjelp må innlemmes i ny BPA-lov for å la «alle være med». Der man mener at barnet er i behov for faglærte så er det enkle svaret å lønne deretter.</w:t>
      </w:r>
    </w:p>
    <w:p w14:paraId="5FDB815E" w14:textId="3082DA7F" w:rsidR="002A724A" w:rsidRPr="004511BC" w:rsidRDefault="004511BC">
      <w:pPr>
        <w:rPr>
          <w:rFonts w:asciiTheme="majorHAnsi" w:hAnsiTheme="majorHAnsi" w:cstheme="majorHAnsi"/>
          <w:sz w:val="28"/>
          <w:szCs w:val="28"/>
          <w:lang w:val="nb-NO"/>
        </w:rPr>
      </w:pPr>
      <w:r w:rsidRPr="004511BC">
        <w:rPr>
          <w:rFonts w:asciiTheme="majorHAnsi" w:hAnsiTheme="majorHAnsi" w:cstheme="majorHAnsi"/>
          <w:sz w:val="28"/>
          <w:szCs w:val="28"/>
          <w:lang w:val="nb-NO"/>
        </w:rPr>
        <w:t>Det må til et tydelig lovverk, med lite rom for tolkning. Man må benytte muligheten for å gjøre jobben enklere for den som skal fatte vedtak og gjør livene enklere for mennesker som har det tøft nok fra før.</w:t>
      </w:r>
      <w:r w:rsidR="00000000" w:rsidRPr="004511BC">
        <w:rPr>
          <w:rFonts w:asciiTheme="majorHAnsi" w:hAnsiTheme="majorHAnsi" w:cstheme="majorHAnsi"/>
          <w:sz w:val="28"/>
          <w:szCs w:val="28"/>
          <w:lang w:val="nb-NO"/>
        </w:rPr>
        <w:br/>
      </w:r>
    </w:p>
    <w:p w14:paraId="3973E9D5" w14:textId="0A1A6A2C" w:rsidR="00081833" w:rsidRPr="004511BC" w:rsidRDefault="00081833">
      <w:pPr>
        <w:rPr>
          <w:rFonts w:asciiTheme="majorHAnsi" w:hAnsiTheme="majorHAnsi" w:cstheme="majorHAnsi"/>
          <w:i/>
          <w:iCs/>
          <w:sz w:val="28"/>
          <w:szCs w:val="28"/>
          <w:lang w:val="nb-NO"/>
        </w:rPr>
      </w:pPr>
      <w:r w:rsidRPr="004511BC">
        <w:rPr>
          <w:rFonts w:asciiTheme="majorHAnsi" w:hAnsiTheme="majorHAnsi" w:cstheme="majorHAnsi"/>
          <w:i/>
          <w:iCs/>
          <w:sz w:val="28"/>
          <w:szCs w:val="28"/>
          <w:lang w:val="nb-NO"/>
        </w:rPr>
        <w:t>Med vennlig hilsen</w:t>
      </w:r>
    </w:p>
    <w:p w14:paraId="68485592" w14:textId="781209F6" w:rsidR="00E042F8" w:rsidRPr="00E042F8" w:rsidRDefault="00081833" w:rsidP="00E042F8">
      <w:pPr>
        <w:rPr>
          <w:rFonts w:asciiTheme="majorHAnsi" w:hAnsiTheme="majorHAnsi" w:cstheme="majorHAnsi"/>
          <w:i/>
          <w:iCs/>
          <w:sz w:val="28"/>
          <w:szCs w:val="28"/>
          <w:lang w:val="nb-NO"/>
        </w:rPr>
      </w:pPr>
      <w:r w:rsidRPr="004511BC">
        <w:rPr>
          <w:rFonts w:asciiTheme="majorHAnsi" w:hAnsiTheme="majorHAnsi" w:cstheme="majorHAnsi"/>
          <w:i/>
          <w:iCs/>
          <w:sz w:val="28"/>
          <w:szCs w:val="28"/>
          <w:lang w:val="nb-NO"/>
        </w:rPr>
        <w:t>Løvemammaene</w:t>
      </w:r>
      <w:r w:rsidR="00E042F8" w:rsidRPr="00E042F8">
        <w:rPr>
          <w:rFonts w:asciiTheme="majorHAnsi" w:hAnsiTheme="majorHAnsi" w:cstheme="majorHAnsi"/>
          <w:sz w:val="28"/>
          <w:szCs w:val="28"/>
          <w:lang w:val="nb-NO"/>
        </w:rPr>
        <w:t xml:space="preserve"> </w:t>
      </w:r>
    </w:p>
    <w:sectPr w:rsidR="00E042F8" w:rsidRPr="00E042F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C752DCE"/>
    <w:multiLevelType w:val="hybridMultilevel"/>
    <w:tmpl w:val="A6C080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393612">
    <w:abstractNumId w:val="8"/>
  </w:num>
  <w:num w:numId="2" w16cid:durableId="1043671979">
    <w:abstractNumId w:val="6"/>
  </w:num>
  <w:num w:numId="3" w16cid:durableId="1697808302">
    <w:abstractNumId w:val="5"/>
  </w:num>
  <w:num w:numId="4" w16cid:durableId="1542202473">
    <w:abstractNumId w:val="4"/>
  </w:num>
  <w:num w:numId="5" w16cid:durableId="63845294">
    <w:abstractNumId w:val="7"/>
  </w:num>
  <w:num w:numId="6" w16cid:durableId="782769632">
    <w:abstractNumId w:val="3"/>
  </w:num>
  <w:num w:numId="7" w16cid:durableId="131022924">
    <w:abstractNumId w:val="2"/>
  </w:num>
  <w:num w:numId="8" w16cid:durableId="1203905544">
    <w:abstractNumId w:val="1"/>
  </w:num>
  <w:num w:numId="9" w16cid:durableId="30880689">
    <w:abstractNumId w:val="0"/>
  </w:num>
  <w:num w:numId="10" w16cid:durableId="16190226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1833"/>
    <w:rsid w:val="0015074B"/>
    <w:rsid w:val="001F5A17"/>
    <w:rsid w:val="0029639D"/>
    <w:rsid w:val="002A724A"/>
    <w:rsid w:val="00326F90"/>
    <w:rsid w:val="003626C0"/>
    <w:rsid w:val="004511BC"/>
    <w:rsid w:val="00AA1D8D"/>
    <w:rsid w:val="00B47730"/>
    <w:rsid w:val="00BC5C40"/>
    <w:rsid w:val="00C37DD5"/>
    <w:rsid w:val="00CB0664"/>
    <w:rsid w:val="00E042F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146B5B"/>
  <w14:defaultImageDpi w14:val="300"/>
  <w15:docId w15:val="{1618D73A-C64D-C54F-8B4F-522E77992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581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Elin Gunnarsson</cp:lastModifiedBy>
  <cp:revision>6</cp:revision>
  <dcterms:created xsi:type="dcterms:W3CDTF">2026-01-21T22:09:00Z</dcterms:created>
  <dcterms:modified xsi:type="dcterms:W3CDTF">2026-01-23T14:17:00Z</dcterms:modified>
  <cp:category/>
</cp:coreProperties>
</file>