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F912" w14:textId="21657678" w:rsidR="007F0D1D" w:rsidRPr="00F022CE" w:rsidRDefault="00F24C27">
      <w:pPr>
        <w:rPr>
          <w:b/>
          <w:bCs/>
          <w:sz w:val="28"/>
          <w:szCs w:val="28"/>
        </w:rPr>
      </w:pPr>
      <w:r w:rsidRPr="00F022CE">
        <w:rPr>
          <w:b/>
          <w:bCs/>
          <w:sz w:val="28"/>
          <w:szCs w:val="28"/>
        </w:rPr>
        <w:t>Innspill til ekspertutvalget om brukerstyrt personlig assistanse (BPA)</w:t>
      </w:r>
    </w:p>
    <w:p w14:paraId="3032C37A" w14:textId="77777777" w:rsidR="00F24C27" w:rsidRPr="00A36F76" w:rsidRDefault="00F24C27"/>
    <w:p w14:paraId="6104654D" w14:textId="7B76A71F" w:rsidR="00F24C27" w:rsidRPr="00A36F76" w:rsidRDefault="00F24C27">
      <w:r w:rsidRPr="00A36F76">
        <w:t xml:space="preserve">Pasient- og brukerombudet takker for muligheten til å bidra med innspill i prosessen. </w:t>
      </w:r>
    </w:p>
    <w:p w14:paraId="3200D0FA" w14:textId="77777777" w:rsidR="00F24C27" w:rsidRPr="00A36F76" w:rsidRDefault="00F24C27"/>
    <w:p w14:paraId="7C7E533B" w14:textId="55670927" w:rsidR="00F24C27" w:rsidRPr="00A36F76" w:rsidRDefault="00F24C27">
      <w:r w:rsidRPr="00A36F76">
        <w:t xml:space="preserve">Vi har følgende innspill: </w:t>
      </w:r>
    </w:p>
    <w:p w14:paraId="0F30697F" w14:textId="2803A99C" w:rsidR="00F24C27" w:rsidRPr="00A36F76" w:rsidRDefault="00F24C27">
      <w:pPr>
        <w:rPr>
          <w:b/>
          <w:bCs/>
        </w:rPr>
      </w:pPr>
      <w:r w:rsidRPr="00A36F76">
        <w:rPr>
          <w:b/>
          <w:bCs/>
        </w:rPr>
        <w:t>Bør andre ordninger inngå i en fremtidig BPA-løsning?</w:t>
      </w:r>
    </w:p>
    <w:p w14:paraId="2AA9F754" w14:textId="597A3470" w:rsidR="00F24C27" w:rsidRPr="00A36F76" w:rsidRDefault="00A36F76" w:rsidP="00A36F76">
      <w:r w:rsidRPr="00A36F76">
        <w:t>BPA omhandler kommunenes ansvar om å tilby “personlig assistanse, herunder praktisk bistand og opplæring og støttekontakt”. Brukere av BPA har nødvendigvis ikke behov for helsehjelp, men trenger en “forlengelse av armer og bein” for å kunne oppleve å være selvstendige og delta aktivt i eget liv.</w:t>
      </w:r>
    </w:p>
    <w:p w14:paraId="0D262B25" w14:textId="6266675B" w:rsidR="00F24C27" w:rsidRPr="00A36F76" w:rsidRDefault="00F24C27" w:rsidP="00F24C27">
      <w:pPr>
        <w:spacing w:before="240" w:after="240"/>
        <w:rPr>
          <w:rFonts w:eastAsiaTheme="minorEastAsia"/>
        </w:rPr>
      </w:pPr>
      <w:r w:rsidRPr="00A36F76">
        <w:rPr>
          <w:rFonts w:eastAsiaTheme="minorEastAsia"/>
        </w:rPr>
        <w:t xml:space="preserve">Pasient- og brukerombudets erfaringer viser at manglende kompetanse i kommunene om BPA-regelverket </w:t>
      </w:r>
      <w:r w:rsidRPr="00A36F76">
        <w:rPr>
          <w:rFonts w:eastAsiaTheme="minorEastAsia"/>
        </w:rPr>
        <w:t>gjentatte ganger</w:t>
      </w:r>
      <w:r w:rsidRPr="00A36F76">
        <w:rPr>
          <w:rFonts w:eastAsiaTheme="minorEastAsia"/>
        </w:rPr>
        <w:t xml:space="preserve"> fører til snever tolkning av hvilke tjenester som kan inngå. Dette forsterkes av betydelig økonomisk press i kommunene, hvor hensynet til kostnader i praksis kan veie tyngre enn rettighetsformålet. Resultatet er ulik praksis, fragmenterte tjenester og redusert forutsigbarhet for brukerne.</w:t>
      </w:r>
    </w:p>
    <w:p w14:paraId="0C51CF89" w14:textId="77777777" w:rsidR="00F24C27" w:rsidRPr="00A36F76" w:rsidRDefault="00F24C27" w:rsidP="00F24C27">
      <w:pPr>
        <w:spacing w:before="240" w:after="240"/>
        <w:rPr>
          <w:rFonts w:eastAsiaTheme="minorEastAsia"/>
        </w:rPr>
      </w:pPr>
      <w:r w:rsidRPr="00A36F76">
        <w:rPr>
          <w:rFonts w:eastAsiaTheme="minorEastAsia"/>
        </w:rPr>
        <w:t>For brukere med BPA er det samtidig avgjørende at alle relevante ordninger sees i sammenheng, herunder tjenester knyttet til helse og omsorg, skole, utdanning og arbeidsliv. En fremtidig BPA-ordning bør legge bedre til rette for helhetlige og funksjonsbaserte vurderinger, innenfor et regelverk som er smidig nok til å støtte brukerens mulighet til å leve et aktivt og mest mulig selvstendig liv.</w:t>
      </w:r>
    </w:p>
    <w:p w14:paraId="2EFF9DC5" w14:textId="77777777" w:rsidR="00A36F76" w:rsidRPr="00A36F76" w:rsidRDefault="00A36F76" w:rsidP="00A36F76">
      <w:r w:rsidRPr="00A36F76">
        <w:t xml:space="preserve">Assistent i skole, barnehage og arbeid i større grad bør kunne inngå der det er hensiktsmessig for bruker. F.eks. vil assistenter i skole/barnehage ofte være tilknyttet skole/barnehage, og ikke den enkelte bruker. Disse brukes da på flere, og vil kun være tilgjengelig for bruker i skolens/barnehagens lokaler. </w:t>
      </w:r>
    </w:p>
    <w:p w14:paraId="43277259" w14:textId="7B5C179B" w:rsidR="00A36F76" w:rsidRDefault="00A36F76" w:rsidP="00A36F76">
      <w:pPr>
        <w:spacing w:before="100" w:beforeAutospacing="1" w:after="100" w:afterAutospacing="1" w:line="300" w:lineRule="atLeast"/>
        <w:rPr>
          <w:rFonts w:eastAsia="Times New Roman" w:cs="Segoe UI"/>
          <w:lang w:eastAsia="nb-NO"/>
        </w:rPr>
      </w:pPr>
      <w:r w:rsidRPr="00A36F76">
        <w:rPr>
          <w:rFonts w:eastAsia="Times New Roman" w:cs="Segoe UI"/>
          <w:lang w:eastAsia="nb-NO"/>
        </w:rPr>
        <w:t xml:space="preserve">Brukere kan oppleve at oppgaver som </w:t>
      </w:r>
      <w:r w:rsidRPr="00A36F76">
        <w:rPr>
          <w:rFonts w:eastAsia="Times New Roman" w:cs="Segoe UI"/>
          <w:lang w:eastAsia="nb-NO"/>
        </w:rPr>
        <w:t xml:space="preserve">enkle </w:t>
      </w:r>
      <w:r w:rsidRPr="00A36F76">
        <w:rPr>
          <w:rFonts w:eastAsia="Times New Roman" w:cs="Segoe UI"/>
          <w:lang w:eastAsia="nb-NO"/>
        </w:rPr>
        <w:t>helsetjeneste</w:t>
      </w:r>
      <w:r w:rsidRPr="00A36F76">
        <w:rPr>
          <w:rFonts w:eastAsia="Times New Roman" w:cs="Segoe UI"/>
          <w:lang w:eastAsia="nb-NO"/>
        </w:rPr>
        <w:t>oppgaver</w:t>
      </w:r>
      <w:r w:rsidRPr="00A36F76">
        <w:rPr>
          <w:rFonts w:eastAsia="Times New Roman" w:cs="Segoe UI"/>
          <w:lang w:eastAsia="nb-NO"/>
        </w:rPr>
        <w:t xml:space="preserve">, opplæring/veiledning av assistenter og avlastning kan falle utenfor BPA. En fremtidig BPA ordning bør derfor innlemme helsehjelp som kan gis av ufaglærte etter opplæring, hverdagsrehabiliterende oppgaver og koordinatorfunksjon. Videre kan det vurderes å </w:t>
      </w:r>
      <w:proofErr w:type="gramStart"/>
      <w:r w:rsidRPr="00A36F76">
        <w:rPr>
          <w:rFonts w:eastAsia="Times New Roman" w:cs="Segoe UI"/>
          <w:lang w:eastAsia="nb-NO"/>
        </w:rPr>
        <w:t>integrere</w:t>
      </w:r>
      <w:proofErr w:type="gramEnd"/>
      <w:r w:rsidRPr="00A36F76">
        <w:rPr>
          <w:rFonts w:eastAsia="Times New Roman" w:cs="Segoe UI"/>
          <w:lang w:eastAsia="nb-NO"/>
        </w:rPr>
        <w:t xml:space="preserve"> ledsagerfunksjoner </w:t>
      </w:r>
      <w:r>
        <w:rPr>
          <w:rFonts w:eastAsia="Times New Roman" w:cs="Segoe UI"/>
          <w:lang w:eastAsia="nb-NO"/>
        </w:rPr>
        <w:t xml:space="preserve">og funksjonsassistenter fra NAV </w:t>
      </w:r>
      <w:r w:rsidRPr="00A36F76">
        <w:rPr>
          <w:rFonts w:eastAsia="Times New Roman" w:cs="Segoe UI"/>
          <w:lang w:eastAsia="nb-NO"/>
        </w:rPr>
        <w:t>i en BPA-ordning, for å skape en mer helhetlig tjeneste og mindre byråkrati.</w:t>
      </w:r>
    </w:p>
    <w:p w14:paraId="2A0C4875" w14:textId="0B017850" w:rsidR="00F022CE" w:rsidRPr="00F022CE" w:rsidRDefault="00F022CE" w:rsidP="00F022CE">
      <w:r>
        <w:t xml:space="preserve">Bruken av begrep som KPA (kommunal praktisk bistand) i vedtak har bidratt til å skape mer forvirring rundt eksisterende lovverk. </w:t>
      </w:r>
      <w:r>
        <w:t xml:space="preserve">Begrepet forårsaker usikkerhet </w:t>
      </w:r>
      <w:r>
        <w:t xml:space="preserve">rundt hva det er man har vedtak på og hvilke rettigheter som gjelder. </w:t>
      </w:r>
    </w:p>
    <w:p w14:paraId="643A3D1C" w14:textId="77777777" w:rsidR="00A36F76" w:rsidRPr="00A36F76" w:rsidRDefault="00A36F76" w:rsidP="00A36F76">
      <w:pPr>
        <w:rPr>
          <w:rFonts w:eastAsia="Times New Roman" w:cs="Segoe UI"/>
          <w:lang w:eastAsia="nb-NO"/>
        </w:rPr>
      </w:pPr>
      <w:r w:rsidRPr="00A36F76">
        <w:rPr>
          <w:rFonts w:eastAsia="Times New Roman" w:cs="Segoe UI"/>
          <w:lang w:eastAsia="nb-NO"/>
        </w:rPr>
        <w:t>Pasient- og brukerombudet ser også behov for en styrking av opplæring innen arbeidslederrollen, og opplever en ulik praksis i kommunenes utøvelse av opplæring og veiledning av arbeidsleder.</w:t>
      </w:r>
    </w:p>
    <w:p w14:paraId="629D6BC9" w14:textId="7919CCF9" w:rsidR="00A36F76" w:rsidRPr="00A36F76" w:rsidRDefault="00A36F76" w:rsidP="00A36F76">
      <w:pPr>
        <w:spacing w:before="100" w:beforeAutospacing="1" w:after="100" w:afterAutospacing="1" w:line="300" w:lineRule="atLeast"/>
        <w:rPr>
          <w:rFonts w:eastAsia="Times New Roman" w:cs="Segoe UI"/>
          <w:lang w:eastAsia="nb-NO"/>
        </w:rPr>
      </w:pPr>
      <w:r w:rsidRPr="00A36F76">
        <w:rPr>
          <w:rFonts w:eastAsia="Times New Roman" w:cs="Segoe UI"/>
          <w:lang w:eastAsia="nb-NO"/>
        </w:rPr>
        <w:t>En fremtidig BPA-ordning bør vurdere å inkludere ordninger og funksjoner som i dag ligger utenfor BPA, men som i praksis er nødvendige for et selvstendig liv.</w:t>
      </w:r>
      <w:r>
        <w:rPr>
          <w:rFonts w:eastAsia="Times New Roman" w:cs="Segoe UI"/>
          <w:lang w:eastAsia="nb-NO"/>
        </w:rPr>
        <w:t xml:space="preserve"> </w:t>
      </w:r>
      <w:r w:rsidR="00F022CE">
        <w:rPr>
          <w:rFonts w:eastAsia="Times New Roman" w:cs="Segoe UI"/>
          <w:lang w:eastAsia="nb-NO"/>
        </w:rPr>
        <w:t xml:space="preserve">Ordningen bør også tydelig </w:t>
      </w:r>
      <w:r w:rsidR="00F022CE">
        <w:rPr>
          <w:rFonts w:eastAsia="Times New Roman" w:cs="Segoe UI"/>
          <w:lang w:eastAsia="nb-NO"/>
        </w:rPr>
        <w:lastRenderedPageBreak/>
        <w:t xml:space="preserve">regulere hvilke tjenester som inngår, og sikre at økonomiske hensyn ikke undergraver ordningens intensjon. </w:t>
      </w:r>
    </w:p>
    <w:p w14:paraId="63557BBF" w14:textId="77777777" w:rsidR="00A36F76" w:rsidRDefault="00A36F76" w:rsidP="00F24C27">
      <w:pPr>
        <w:rPr>
          <w:b/>
          <w:bCs/>
        </w:rPr>
      </w:pPr>
    </w:p>
    <w:p w14:paraId="1033F651" w14:textId="347D2DA2" w:rsidR="00F022CE" w:rsidRDefault="00F022CE" w:rsidP="00F24C27">
      <w:pPr>
        <w:rPr>
          <w:b/>
          <w:bCs/>
        </w:rPr>
      </w:pPr>
      <w:r w:rsidRPr="00F022CE">
        <w:rPr>
          <w:b/>
          <w:bCs/>
        </w:rPr>
        <w:t>Bør BPA-ordningen forankres i eget lovverk?</w:t>
      </w:r>
    </w:p>
    <w:p w14:paraId="7ED1F205" w14:textId="77777777" w:rsidR="00F022CE" w:rsidRPr="00F022CE" w:rsidRDefault="00F022CE" w:rsidP="00F022CE">
      <w:r w:rsidRPr="00F022CE">
        <w:rPr>
          <w:kern w:val="0"/>
          <w14:ligatures w14:val="none"/>
        </w:rPr>
        <w:t xml:space="preserve">Utfordringen ved dagens forankring av BPA i helse- og omsorgslovgivningen er varierende tolkning mellom kommuner, hvor skjønnspraksisen og manglende ressurser kan svekke rettigheten.  BPA er ikke en helse- og omsorgstjeneste men et likestillings- og samfunnsdeltagelsesverktøy. </w:t>
      </w:r>
      <w:r w:rsidRPr="00F022CE">
        <w:t xml:space="preserve">Brukere av BPA har nødvendigvis ikke behov for helsehjelp, men trenger en “forlengelse av armer og bein” for å kunne oppleve å være selvstendige og delta aktivt i eget liv. </w:t>
      </w:r>
    </w:p>
    <w:p w14:paraId="67B04703" w14:textId="573EB1E3" w:rsidR="00F022CE" w:rsidRPr="00F022CE" w:rsidRDefault="00F022CE" w:rsidP="00F022CE">
      <w:pPr>
        <w:rPr>
          <w:kern w:val="0"/>
          <w14:ligatures w14:val="none"/>
        </w:rPr>
      </w:pPr>
      <w:r w:rsidRPr="00F022CE">
        <w:rPr>
          <w:kern w:val="0"/>
          <w14:ligatures w14:val="none"/>
        </w:rPr>
        <w:t xml:space="preserve">En egen BPA-lov kan styrke rettigheten, gi en tydeligere oppfyllelse av </w:t>
      </w:r>
      <w:proofErr w:type="spellStart"/>
      <w:r w:rsidRPr="00F022CE">
        <w:rPr>
          <w:kern w:val="0"/>
          <w14:ligatures w14:val="none"/>
        </w:rPr>
        <w:t>CRPDs</w:t>
      </w:r>
      <w:proofErr w:type="spellEnd"/>
      <w:r w:rsidRPr="00F022CE">
        <w:rPr>
          <w:kern w:val="0"/>
          <w14:ligatures w14:val="none"/>
        </w:rPr>
        <w:t xml:space="preserve"> artikkel 19 og sikre en mer likeverdig tjeneste, uavhengig av geografi, økonomi og kompetanse.  </w:t>
      </w:r>
    </w:p>
    <w:p w14:paraId="70A13F90" w14:textId="77777777" w:rsidR="00F022CE" w:rsidRPr="00F022CE" w:rsidRDefault="00F022CE" w:rsidP="00F022CE">
      <w:pPr>
        <w:rPr>
          <w:b/>
          <w:bCs/>
        </w:rPr>
      </w:pPr>
      <w:r w:rsidRPr="00F022CE">
        <w:rPr>
          <w:kern w:val="0"/>
          <w14:ligatures w14:val="none"/>
        </w:rPr>
        <w:t xml:space="preserve">Det er statsforvalteren som er klageinstans for tjenester gitt i </w:t>
      </w:r>
      <w:proofErr w:type="gramStart"/>
      <w:r w:rsidRPr="00F022CE">
        <w:rPr>
          <w:kern w:val="0"/>
          <w14:ligatures w14:val="none"/>
        </w:rPr>
        <w:t>medhold av</w:t>
      </w:r>
      <w:proofErr w:type="gramEnd"/>
      <w:r w:rsidRPr="00F022CE">
        <w:rPr>
          <w:kern w:val="0"/>
          <w14:ligatures w14:val="none"/>
        </w:rPr>
        <w:t xml:space="preserve"> helse- og omsorgstjenesteloven og vurderingstemaet vil da være en forsvarlighetsvurdering av avslag på BPA eller det tildelte vedtaket. Ombudene erfarer at formålet i loven, "bidra til likeverd og likestilling", i liten grad blir vektlagt i vedtakene. Derfor bør vi ha et klarere lovverk der likestillingsperspektivet tydeliggjøres.</w:t>
      </w:r>
    </w:p>
    <w:p w14:paraId="19A5498F" w14:textId="2E964BD8" w:rsidR="00F022CE" w:rsidRPr="00F022CE" w:rsidRDefault="00F022CE" w:rsidP="00F022CE">
      <w:r w:rsidRPr="00F022CE">
        <w:t xml:space="preserve">Uavhengig av om ordningen forankres i eget lovverk eller ikke, bør det </w:t>
      </w:r>
      <w:r w:rsidRPr="00F022CE">
        <w:t xml:space="preserve">etableres klarere kriterier for tildeling av BPA for å gi støtte til skjønnet. </w:t>
      </w:r>
    </w:p>
    <w:p w14:paraId="633371DA" w14:textId="77777777" w:rsidR="00F022CE" w:rsidRDefault="00F022CE" w:rsidP="00F022CE">
      <w:pPr>
        <w:rPr>
          <w:sz w:val="24"/>
          <w:szCs w:val="24"/>
        </w:rPr>
      </w:pPr>
    </w:p>
    <w:p w14:paraId="512F3423" w14:textId="1AF014E8" w:rsidR="00F022CE" w:rsidRDefault="00F022CE" w:rsidP="00F022CE">
      <w:pPr>
        <w:rPr>
          <w:b/>
          <w:bCs/>
        </w:rPr>
      </w:pPr>
      <w:r w:rsidRPr="00F022CE">
        <w:rPr>
          <w:b/>
          <w:bCs/>
        </w:rPr>
        <w:t>Hvordan bør en slik ordning utformes og organiseres?</w:t>
      </w:r>
    </w:p>
    <w:p w14:paraId="22177027" w14:textId="77777777" w:rsidR="00F022CE" w:rsidRPr="003834BE" w:rsidRDefault="00F022CE" w:rsidP="00F022CE">
      <w:pPr>
        <w:spacing w:before="240" w:after="240"/>
      </w:pPr>
      <w:r w:rsidRPr="5B773692">
        <w:rPr>
          <w:rFonts w:ascii="Aptos" w:eastAsia="Aptos" w:hAnsi="Aptos" w:cs="Aptos"/>
        </w:rPr>
        <w:t>Da BPA ble rettighetsfestet i 2015, var Stortingets mål todelt: å bidra til at brukeren får et aktivt og mest mulig uavhengig liv, og å redusere ulikheter i kommunenes praksis slik at ordningen blir mest mulig lik nasjonalt. Pasient- og brukerombudets erfaringer viser at dette i dag ikke er en gjennomgående realitet. Det er fortsatt betydelige forskjeller mellom kommuner i behovsvurdering, innhold og omfang av BPA. Manglende regelverkskompetanse i kommunene, kombinert med sterkt økonomisk press, bidrar til at rettighetsformålet svekkes i praksis.</w:t>
      </w:r>
    </w:p>
    <w:p w14:paraId="0D737E8A" w14:textId="094A3FF6" w:rsidR="00F022CE" w:rsidRPr="009213DF" w:rsidRDefault="00F022CE" w:rsidP="009213DF">
      <w:pPr>
        <w:spacing w:before="240" w:after="240"/>
        <w:rPr>
          <w:rFonts w:ascii="Aptos" w:eastAsia="Aptos" w:hAnsi="Aptos" w:cs="Aptos"/>
          <w:u w:val="single"/>
        </w:rPr>
      </w:pPr>
      <w:r w:rsidRPr="5B773692">
        <w:rPr>
          <w:rFonts w:ascii="Aptos" w:eastAsia="Aptos" w:hAnsi="Aptos" w:cs="Aptos"/>
        </w:rPr>
        <w:t xml:space="preserve">En fremtidig BPA-ordning bør derfor utformes med tydeligere nasjonale rammer for behovsvurdering og innhold, samt klare krav til kommunal kompetanse om BPA-regelverket. </w:t>
      </w:r>
      <w:r w:rsidRPr="009213DF">
        <w:rPr>
          <w:rFonts w:ascii="Aptos" w:eastAsia="Aptos" w:hAnsi="Aptos" w:cs="Aptos"/>
        </w:rPr>
        <w:t>Ordningen bør organiseres slik at kommunenes ansvar utøves innenfor rammer som begrenser økonomisk motiverte avvik, samtidig som reell brukerstyring, rettssikkerhet og nasjonal likebehandling styrkes.</w:t>
      </w:r>
    </w:p>
    <w:p w14:paraId="22CA3DF0" w14:textId="77777777" w:rsidR="00F022CE" w:rsidRDefault="00F022CE" w:rsidP="00F022CE">
      <w:r>
        <w:t xml:space="preserve">Krav til arbeidsledelse virker å være for omfattende og bidrar til at enkelte ekskluderes fra å kunne nyttiggjøre seg en BPA-ordning. Ikke alle er i stand til å lage turnuser </w:t>
      </w:r>
      <w:proofErr w:type="spellStart"/>
      <w:r>
        <w:t>ihht</w:t>
      </w:r>
      <w:proofErr w:type="spellEnd"/>
      <w:r>
        <w:t xml:space="preserve"> lovverk, sørge for at de får på plass vikarer ved sykdom osv. Her burde kommunen hatt et større ansvar for den administrative driften (der bruker ikke er i stand til dette selv), men uten at det gikk på bekostning av brukerstyring </w:t>
      </w:r>
      <w:proofErr w:type="gramStart"/>
      <w:r>
        <w:t>for øvrig</w:t>
      </w:r>
      <w:proofErr w:type="gramEnd"/>
      <w:r>
        <w:t xml:space="preserve"> og muligheten til å få innvilget BPA. </w:t>
      </w:r>
    </w:p>
    <w:p w14:paraId="43B6F6CE" w14:textId="77777777" w:rsidR="00F022CE" w:rsidRDefault="00F022CE" w:rsidP="00F022CE"/>
    <w:p w14:paraId="5D0D1CD5" w14:textId="5D2715C6" w:rsidR="00F022CE" w:rsidRDefault="00F022CE" w:rsidP="00F022CE">
      <w:r>
        <w:lastRenderedPageBreak/>
        <w:t>Det må vurderes hvem som skal finansiere kostnadene til BPA, for å sikre et mer likeverdig tilbud.</w:t>
      </w:r>
    </w:p>
    <w:p w14:paraId="407CBD6A" w14:textId="77777777" w:rsidR="00F022CE" w:rsidRPr="009213DF" w:rsidRDefault="00F022CE" w:rsidP="00F022CE">
      <w:pPr>
        <w:rPr>
          <w:rFonts w:ascii="Aptos" w:eastAsia="Aptos" w:hAnsi="Aptos" w:cs="Aptos"/>
          <w:color w:val="000000" w:themeColor="text1"/>
        </w:rPr>
      </w:pPr>
      <w:r w:rsidRPr="009213DF">
        <w:rPr>
          <w:rFonts w:ascii="Aptos" w:eastAsia="Aptos" w:hAnsi="Aptos" w:cs="Aptos"/>
          <w:color w:val="000000" w:themeColor="text1"/>
        </w:rPr>
        <w:t>I rundskriv I-9/2015 står det:</w:t>
      </w:r>
    </w:p>
    <w:p w14:paraId="0C7B6F77" w14:textId="77777777" w:rsidR="00F022CE" w:rsidRPr="009213DF" w:rsidRDefault="00F022CE" w:rsidP="00F022CE">
      <w:pPr>
        <w:rPr>
          <w:rFonts w:ascii="Aptos" w:eastAsia="Aptos" w:hAnsi="Aptos" w:cs="Aptos"/>
          <w:color w:val="000000" w:themeColor="text1"/>
        </w:rPr>
      </w:pPr>
      <w:r w:rsidRPr="009213DF">
        <w:rPr>
          <w:rFonts w:ascii="Aptos" w:eastAsia="Aptos" w:hAnsi="Aptos" w:cs="Aptos"/>
          <w:i/>
          <w:iCs/>
          <w:color w:val="000000" w:themeColor="text1"/>
        </w:rPr>
        <w:t>Brukerstyrt personlig assistanse er et viktig bidrag til likeverd, likestilling og samfunnsdeltakelse for personer med nedsatt funksjonsevne og stort behov for bistand. For personer i denne situasjonen betyr BPA mye for muligheten til yrkesdeltakelse, utdanning og et aktivt og selvstendig liv</w:t>
      </w:r>
    </w:p>
    <w:p w14:paraId="3E12ABFE" w14:textId="00C3F28F" w:rsidR="00F022CE" w:rsidRPr="009213DF" w:rsidRDefault="00F022CE" w:rsidP="00F022CE">
      <w:pPr>
        <w:rPr>
          <w:rFonts w:ascii="Aptos" w:eastAsia="Aptos" w:hAnsi="Aptos" w:cs="Aptos"/>
          <w:color w:val="000000" w:themeColor="text1"/>
        </w:rPr>
      </w:pPr>
      <w:r w:rsidRPr="009213DF">
        <w:rPr>
          <w:rFonts w:ascii="Aptos" w:eastAsia="Aptos" w:hAnsi="Aptos" w:cs="Aptos"/>
          <w:i/>
          <w:iCs/>
          <w:color w:val="000000" w:themeColor="text1"/>
        </w:rPr>
        <w:t xml:space="preserve">......Timeantallet ved BPA skal derfor i utgangspunktet være det samme som om tjenestene ikke var organisert som BPA. </w:t>
      </w:r>
    </w:p>
    <w:p w14:paraId="254A6E2D" w14:textId="738DA9FD" w:rsidR="00F022CE" w:rsidRPr="009213DF" w:rsidRDefault="00F022CE" w:rsidP="00F022CE">
      <w:pPr>
        <w:rPr>
          <w:rFonts w:ascii="Aptos" w:eastAsia="Aptos" w:hAnsi="Aptos" w:cs="Aptos"/>
          <w:strike/>
          <w:color w:val="D13438"/>
        </w:rPr>
      </w:pPr>
      <w:r w:rsidRPr="009213DF">
        <w:rPr>
          <w:rFonts w:ascii="Aptos" w:eastAsia="Aptos" w:hAnsi="Aptos" w:cs="Aptos"/>
          <w:color w:val="000000" w:themeColor="text1"/>
        </w:rPr>
        <w:t>Disse to slår hverandre i hjel</w:t>
      </w:r>
      <w:r w:rsidR="009213DF" w:rsidRPr="009213DF">
        <w:rPr>
          <w:rFonts w:ascii="Aptos" w:eastAsia="Aptos" w:hAnsi="Aptos" w:cs="Aptos"/>
          <w:color w:val="000000" w:themeColor="text1"/>
        </w:rPr>
        <w:t>;</w:t>
      </w:r>
      <w:r w:rsidRPr="009213DF">
        <w:rPr>
          <w:rFonts w:ascii="Aptos" w:eastAsia="Aptos" w:hAnsi="Aptos" w:cs="Aptos"/>
          <w:color w:val="000000" w:themeColor="text1"/>
        </w:rPr>
        <w:t xml:space="preserve"> ordinære tjenester blir ofte kun innvilget for å dekke helt konkret behov. Det vil ikke være rom for å velge </w:t>
      </w:r>
      <w:proofErr w:type="spellStart"/>
      <w:r w:rsidRPr="009213DF">
        <w:rPr>
          <w:rFonts w:ascii="Aptos" w:eastAsia="Aptos" w:hAnsi="Aptos" w:cs="Aptos"/>
          <w:color w:val="000000" w:themeColor="text1"/>
        </w:rPr>
        <w:t>mtp</w:t>
      </w:r>
      <w:proofErr w:type="spellEnd"/>
      <w:r w:rsidRPr="009213DF">
        <w:rPr>
          <w:rFonts w:ascii="Aptos" w:eastAsia="Aptos" w:hAnsi="Aptos" w:cs="Aptos"/>
          <w:color w:val="000000" w:themeColor="text1"/>
        </w:rPr>
        <w:t xml:space="preserve">. sosiale aktiviteter f.eks., siden kommunen ofte bruker egne “standarder” for omfang av støttekontakt (ofte rundt 3-4 timer/uke). </w:t>
      </w:r>
      <w:r w:rsidRPr="009213DF">
        <w:rPr>
          <w:rFonts w:ascii="Aptos" w:eastAsia="Aptos" w:hAnsi="Aptos" w:cs="Aptos"/>
        </w:rPr>
        <w:t>Et timeantall som i større grad tar sikte på å sikre reell frihet, selvstendighet og likestilling kunne bidratt til at pårørende fikk mer avlastning og at assistansemottakerne ble mer selvstendige.</w:t>
      </w:r>
    </w:p>
    <w:p w14:paraId="216C5288" w14:textId="1CBF50EA" w:rsidR="00F022CE" w:rsidRPr="009213DF" w:rsidRDefault="00F022CE" w:rsidP="00F022CE">
      <w:pPr>
        <w:rPr>
          <w:rFonts w:ascii="Aptos" w:eastAsia="Aptos" w:hAnsi="Aptos" w:cs="Aptos"/>
          <w:color w:val="000000" w:themeColor="text1"/>
        </w:rPr>
      </w:pPr>
      <w:r w:rsidRPr="009213DF">
        <w:rPr>
          <w:rFonts w:ascii="Aptos" w:eastAsia="Aptos" w:hAnsi="Aptos" w:cs="Aptos"/>
          <w:color w:val="000000" w:themeColor="text1"/>
        </w:rPr>
        <w:t>I tillegg står det at BPA normalt sett ikke skal tildeles for den tiden tjenestemottaker er i barnehage, skole og jobb, Dette er i motstrid til at BPA skal være et verktøy for arbeidsdeltakelse og utdanning.</w:t>
      </w:r>
    </w:p>
    <w:p w14:paraId="252BCCFC" w14:textId="106C3011" w:rsidR="00F022CE" w:rsidRPr="009213DF" w:rsidRDefault="00F022CE" w:rsidP="00F022CE">
      <w:pPr>
        <w:rPr>
          <w:rFonts w:ascii="Aptos" w:eastAsia="Aptos" w:hAnsi="Aptos" w:cs="Aptos"/>
        </w:rPr>
      </w:pPr>
      <w:r w:rsidRPr="009213DF">
        <w:rPr>
          <w:rFonts w:ascii="Aptos" w:eastAsia="Aptos" w:hAnsi="Aptos" w:cs="Aptos"/>
          <w:color w:val="000000" w:themeColor="text1"/>
        </w:rPr>
        <w:t>For å oppnå målet med BPA bør det vurderes om BPA skal være en egen tjeneste og ikke en måte å organisere andre tjenester på. Det bør også vurderes om det skal kunne bli gitt på andre arenaer som skole, barnehage og jobb der det er behov for personlig hjelp for å kunne delta. BPA på skole og i b</w:t>
      </w:r>
      <w:r w:rsidR="009213DF" w:rsidRPr="009213DF">
        <w:rPr>
          <w:rFonts w:ascii="Aptos" w:eastAsia="Aptos" w:hAnsi="Aptos" w:cs="Aptos"/>
          <w:color w:val="000000" w:themeColor="text1"/>
        </w:rPr>
        <w:t>arnehage</w:t>
      </w:r>
      <w:r w:rsidRPr="009213DF">
        <w:rPr>
          <w:rFonts w:ascii="Aptos" w:eastAsia="Aptos" w:hAnsi="Aptos" w:cs="Aptos"/>
          <w:color w:val="000000" w:themeColor="text1"/>
        </w:rPr>
        <w:t xml:space="preserve"> kan også hjelpe foreldre til å stå i jobb</w:t>
      </w:r>
      <w:r w:rsidRPr="009213DF">
        <w:rPr>
          <w:rFonts w:ascii="Aptos" w:eastAsia="Aptos" w:hAnsi="Aptos" w:cs="Aptos"/>
          <w:u w:val="single"/>
        </w:rPr>
        <w:t>,</w:t>
      </w:r>
      <w:r w:rsidRPr="009213DF">
        <w:rPr>
          <w:rFonts w:ascii="Aptos" w:eastAsia="Aptos" w:hAnsi="Aptos" w:cs="Aptos"/>
        </w:rPr>
        <w:t xml:space="preserve"> og til å ivareta og følge opp andre barn. For noen familier vil det og kunne være avgjørende for om barnet kan fortsette å bo sammen med foreldrene sine. Dette vil også bidra til å redusere antall personer som barn og unge med ekstra behov må forholde seg til, og bidra til kontinuitet og trygghet for dem i større grad enn i dag.</w:t>
      </w:r>
    </w:p>
    <w:p w14:paraId="1C63A65B" w14:textId="77777777" w:rsidR="00F022CE" w:rsidRPr="009213DF" w:rsidRDefault="00F022CE" w:rsidP="00F022CE">
      <w:pPr>
        <w:rPr>
          <w:rFonts w:ascii="Aptos" w:eastAsia="Aptos" w:hAnsi="Aptos" w:cs="Aptos"/>
          <w:color w:val="000000" w:themeColor="text1"/>
        </w:rPr>
      </w:pPr>
      <w:r w:rsidRPr="009213DF">
        <w:rPr>
          <w:rFonts w:ascii="Aptos" w:eastAsia="Aptos" w:hAnsi="Aptos" w:cs="Aptos"/>
          <w:color w:val="000000" w:themeColor="text1"/>
        </w:rPr>
        <w:t xml:space="preserve">Så lenge det er opp til hver enkelt kommune å vurdere, tildele og utmåle tjenester, så vil det blir forskjeller mellom kommuner og bydeler. Vedtak om BPA bør følge personen, ikke hvor vedkommende bor. I rapport fra Agenda Kaupang i forbindelse med utredning av sentralisering av BPA ordningen i Oslo kom det frem at omgjøringsprosenten i klagesaker var veldig høy i en del av bydelene. I tall fra Statsforvalteren for 2023 ble 50% av klagene om BPA fra Oslo opphevet. For Akershus ble 39 av 52 saker enten opphevet eller omgjort av Statsforvalteren i 2023. </w:t>
      </w:r>
    </w:p>
    <w:p w14:paraId="2BD20607" w14:textId="04AEEC6F" w:rsidR="00F022CE" w:rsidRDefault="00F022CE" w:rsidP="00F022CE">
      <w:pPr>
        <w:rPr>
          <w:kern w:val="0"/>
          <w14:ligatures w14:val="none"/>
        </w:rPr>
      </w:pPr>
      <w:r w:rsidRPr="004A6FC5">
        <w:rPr>
          <w:kern w:val="0"/>
          <w14:ligatures w14:val="none"/>
        </w:rPr>
        <w:t xml:space="preserve">For at ordningen skal fungere etter intensjonen er det viktig å sikre fleksibilitet, særlig i forbindelse med studier, jobb, foreldreansvar og deltagelse i samfunn og fritid. Det bør vurderes om barn og unge har behov for en egen utforming for å sikre at familiene med særskilte behov ivaretas og at det ses i sammenheng med andre tjenester for å sikre et helhetlig tilbud.   </w:t>
      </w:r>
    </w:p>
    <w:p w14:paraId="5418D75C" w14:textId="333DFA28" w:rsidR="00F022CE" w:rsidRPr="00F022CE" w:rsidRDefault="00F022CE" w:rsidP="00F022CE">
      <w:pPr>
        <w:rPr>
          <w:sz w:val="24"/>
          <w:szCs w:val="24"/>
        </w:rPr>
      </w:pPr>
      <w:r w:rsidRPr="004A6FC5">
        <w:rPr>
          <w:kern w:val="0"/>
          <w14:ligatures w14:val="none"/>
        </w:rPr>
        <w:t>Det kan videre vurderes om det skal opprettes nasjonalt tilsyn organisert under Statsforvalteren, for å sikre en mere lik praksis.</w:t>
      </w:r>
    </w:p>
    <w:sectPr w:rsidR="00F022CE" w:rsidRPr="00F02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27"/>
    <w:rsid w:val="007500BD"/>
    <w:rsid w:val="007F0D1D"/>
    <w:rsid w:val="009213DF"/>
    <w:rsid w:val="00A36F76"/>
    <w:rsid w:val="00CD577B"/>
    <w:rsid w:val="00D82EFF"/>
    <w:rsid w:val="00F022CE"/>
    <w:rsid w:val="00F24C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E7D3"/>
  <w15:chartTrackingRefBased/>
  <w15:docId w15:val="{5940A48C-A59E-4622-84CA-03446ACF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24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24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24C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24C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24C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24C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24C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24C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24C2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4C2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24C2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24C2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24C2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24C2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24C2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24C2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24C2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24C27"/>
    <w:rPr>
      <w:rFonts w:eastAsiaTheme="majorEastAsia" w:cstheme="majorBidi"/>
      <w:color w:val="272727" w:themeColor="text1" w:themeTint="D8"/>
    </w:rPr>
  </w:style>
  <w:style w:type="paragraph" w:styleId="Tittel">
    <w:name w:val="Title"/>
    <w:basedOn w:val="Normal"/>
    <w:next w:val="Normal"/>
    <w:link w:val="TittelTegn"/>
    <w:uiPriority w:val="10"/>
    <w:qFormat/>
    <w:rsid w:val="00F2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4C2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24C2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24C2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24C2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24C27"/>
    <w:rPr>
      <w:i/>
      <w:iCs/>
      <w:color w:val="404040" w:themeColor="text1" w:themeTint="BF"/>
    </w:rPr>
  </w:style>
  <w:style w:type="paragraph" w:styleId="Listeavsnitt">
    <w:name w:val="List Paragraph"/>
    <w:basedOn w:val="Normal"/>
    <w:uiPriority w:val="34"/>
    <w:qFormat/>
    <w:rsid w:val="00F24C27"/>
    <w:pPr>
      <w:ind w:left="720"/>
      <w:contextualSpacing/>
    </w:pPr>
  </w:style>
  <w:style w:type="character" w:styleId="Sterkutheving">
    <w:name w:val="Intense Emphasis"/>
    <w:basedOn w:val="Standardskriftforavsnitt"/>
    <w:uiPriority w:val="21"/>
    <w:qFormat/>
    <w:rsid w:val="00F24C27"/>
    <w:rPr>
      <w:i/>
      <w:iCs/>
      <w:color w:val="0F4761" w:themeColor="accent1" w:themeShade="BF"/>
    </w:rPr>
  </w:style>
  <w:style w:type="paragraph" w:styleId="Sterktsitat">
    <w:name w:val="Intense Quote"/>
    <w:basedOn w:val="Normal"/>
    <w:next w:val="Normal"/>
    <w:link w:val="SterktsitatTegn"/>
    <w:uiPriority w:val="30"/>
    <w:qFormat/>
    <w:rsid w:val="00F24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24C27"/>
    <w:rPr>
      <w:i/>
      <w:iCs/>
      <w:color w:val="0F4761" w:themeColor="accent1" w:themeShade="BF"/>
    </w:rPr>
  </w:style>
  <w:style w:type="character" w:styleId="Sterkreferanse">
    <w:name w:val="Intense Reference"/>
    <w:basedOn w:val="Standardskriftforavsnitt"/>
    <w:uiPriority w:val="32"/>
    <w:qFormat/>
    <w:rsid w:val="00F24C27"/>
    <w:rPr>
      <w:b/>
      <w:bCs/>
      <w:smallCaps/>
      <w:color w:val="0F4761" w:themeColor="accent1" w:themeShade="BF"/>
      <w:spacing w:val="5"/>
    </w:rPr>
  </w:style>
  <w:style w:type="table" w:styleId="Tabellrutenett">
    <w:name w:val="Table Grid"/>
    <w:basedOn w:val="Vanligtabell"/>
    <w:uiPriority w:val="39"/>
    <w:rsid w:val="00A3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1343</Words>
  <Characters>7121</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Jannicke Bruvik</dc:creator>
  <cp:keywords/>
  <dc:description/>
  <cp:lastModifiedBy>Jannicke Bruvik</cp:lastModifiedBy>
  <cp:revision>1</cp:revision>
  <dcterms:created xsi:type="dcterms:W3CDTF">2026-01-13T12:34:00Z</dcterms:created>
  <dcterms:modified xsi:type="dcterms:W3CDTF">2026-01-13T13:11:00Z</dcterms:modified>
</cp:coreProperties>
</file>