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590C" w:rsidR="008A3036" w:rsidP="007D590C" w:rsidRDefault="008A3036" w14:paraId="24950970" w14:textId="77777777">
      <w:pPr>
        <w:rPr>
          <w:color w:val="00338D" w:themeColor="accent1"/>
          <w:sz w:val="32"/>
          <w:szCs w:val="2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1"/>
        <w:gridCol w:w="4531"/>
      </w:tblGrid>
      <w:tr w:rsidR="007D590C" w:rsidTr="2F4126B1" w14:paraId="3118E2A6" w14:textId="77777777">
        <w:tc>
          <w:tcPr>
            <w:tcW w:w="4531" w:type="dxa"/>
            <w:tcMar/>
          </w:tcPr>
          <w:p w:rsidR="007D590C" w:rsidP="007D590C" w:rsidRDefault="007D590C" w14:paraId="0497DE17" w14:textId="77777777">
            <w:r>
              <w:t>Fra</w:t>
            </w:r>
          </w:p>
        </w:tc>
        <w:tc>
          <w:tcPr>
            <w:tcW w:w="4531" w:type="dxa"/>
            <w:tcMar/>
          </w:tcPr>
          <w:p w:rsidR="007D590C" w:rsidP="007D590C" w:rsidRDefault="007D590C" w14:paraId="512FC802" w14:textId="77777777"/>
        </w:tc>
      </w:tr>
      <w:tr w:rsidR="007D590C" w:rsidTr="2F4126B1" w14:paraId="2E7182C6" w14:textId="77777777">
        <w:tc>
          <w:tcPr>
            <w:tcW w:w="4531" w:type="dxa"/>
            <w:tcMar/>
          </w:tcPr>
          <w:p w:rsidR="007D590C" w:rsidP="2F4126B1" w:rsidRDefault="007D590C" w14:paraId="22BBBFB1" w14:textId="25769C0C">
            <w:pPr>
              <w:pStyle w:val="Normal"/>
              <w:suppressLineNumbers w:val="0"/>
              <w:bidi w:val="0"/>
              <w:spacing w:before="0" w:beforeAutospacing="off" w:after="0" w:afterAutospacing="off" w:line="240" w:lineRule="auto"/>
              <w:ind w:left="0" w:right="0"/>
              <w:jc w:val="left"/>
            </w:pPr>
            <w:r w:rsidR="6EC26102">
              <w:rPr/>
              <w:t>S</w:t>
            </w:r>
            <w:r w:rsidR="6A538176">
              <w:rPr/>
              <w:t>ykehusbygg HF</w:t>
            </w:r>
          </w:p>
        </w:tc>
        <w:tc>
          <w:tcPr>
            <w:tcW w:w="4531" w:type="dxa"/>
            <w:tcMar/>
          </w:tcPr>
          <w:p w:rsidR="007D590C" w:rsidP="007D590C" w:rsidRDefault="007D590C" w14:paraId="17B5A46C" w14:textId="77777777"/>
        </w:tc>
      </w:tr>
      <w:tr w:rsidR="007D590C" w:rsidTr="2F4126B1" w14:paraId="56232DCD" w14:textId="77777777">
        <w:tc>
          <w:tcPr>
            <w:tcW w:w="4531" w:type="dxa"/>
            <w:tcMar/>
          </w:tcPr>
          <w:p w:rsidR="007D590C" w:rsidP="007D590C" w:rsidRDefault="007D590C" w14:paraId="53B2C0F7" w14:textId="77777777"/>
        </w:tc>
        <w:tc>
          <w:tcPr>
            <w:tcW w:w="4531" w:type="dxa"/>
            <w:tcMar/>
          </w:tcPr>
          <w:p w:rsidR="007D590C" w:rsidP="007D590C" w:rsidRDefault="007D590C" w14:paraId="0BA1B82C" w14:textId="77777777"/>
        </w:tc>
      </w:tr>
      <w:tr w:rsidR="007D590C" w:rsidTr="2F4126B1" w14:paraId="01F658E4" w14:textId="77777777">
        <w:tc>
          <w:tcPr>
            <w:tcW w:w="4531" w:type="dxa"/>
            <w:tcMar/>
          </w:tcPr>
          <w:p w:rsidR="007D590C" w:rsidP="007D590C" w:rsidRDefault="007D590C" w14:paraId="1EA0E5B2" w14:textId="77777777">
            <w:r>
              <w:t>Til</w:t>
            </w:r>
          </w:p>
        </w:tc>
        <w:tc>
          <w:tcPr>
            <w:tcW w:w="4531" w:type="dxa"/>
            <w:tcMar/>
          </w:tcPr>
          <w:p w:rsidR="007D590C" w:rsidP="007D590C" w:rsidRDefault="007D590C" w14:paraId="1D989770" w14:textId="2F7964ED"/>
        </w:tc>
      </w:tr>
      <w:tr w:rsidR="007D590C" w:rsidTr="2F4126B1" w14:paraId="6F8F0B16" w14:textId="77777777">
        <w:tc>
          <w:tcPr>
            <w:tcW w:w="4531" w:type="dxa"/>
            <w:tcMar/>
          </w:tcPr>
          <w:p w:rsidR="007D590C" w:rsidP="2F4126B1" w:rsidRDefault="007D590C" w14:paraId="62BCD4F4" w14:textId="4F8FA973">
            <w:pPr>
              <w:pStyle w:val="Normal"/>
              <w:suppressLineNumbers w:val="0"/>
              <w:bidi w:val="0"/>
              <w:spacing w:before="0" w:beforeAutospacing="off" w:after="0" w:afterAutospacing="off" w:line="240" w:lineRule="auto"/>
              <w:ind w:left="0" w:right="0"/>
              <w:jc w:val="left"/>
            </w:pPr>
            <w:r w:rsidR="3801CD61">
              <w:rPr/>
              <w:t>Helsereformutvalget</w:t>
            </w:r>
          </w:p>
        </w:tc>
        <w:tc>
          <w:tcPr>
            <w:tcW w:w="4531" w:type="dxa"/>
            <w:tcMar/>
          </w:tcPr>
          <w:p w:rsidR="007D590C" w:rsidP="007D590C" w:rsidRDefault="007D590C" w14:paraId="01428258" w14:textId="066A16A7"/>
        </w:tc>
      </w:tr>
    </w:tbl>
    <w:p w:rsidR="00CD46A4" w:rsidP="00CD46A4" w:rsidRDefault="00CD46A4" w14:paraId="5DA92FC5" w14:textId="77777777"/>
    <w:p w:rsidR="002E4DC6" w:rsidP="00733B44" w:rsidRDefault="002E4DC6" w14:paraId="15803C41" w14:textId="5B1E577F">
      <w:pPr>
        <w:pStyle w:val="Heading1"/>
      </w:pPr>
      <w:r w:rsidRPr="002E4DC6">
        <w:t>Effekt mht personellbruk med ulike måter å bygge på (effektive bygg), inkl. ensengs- og flersengsrom</w:t>
      </w:r>
      <w:r w:rsidR="001557B0">
        <w:t xml:space="preserve"> med</w:t>
      </w:r>
      <w:r w:rsidRPr="002E4DC6">
        <w:t xml:space="preserve"> </w:t>
      </w:r>
      <w:r w:rsidR="001557B0">
        <w:t>h</w:t>
      </w:r>
      <w:r w:rsidRPr="002E4DC6">
        <w:t>envisning til forsknin</w:t>
      </w:r>
      <w:r w:rsidR="001557B0">
        <w:t>g</w:t>
      </w:r>
      <w:r w:rsidRPr="002E4DC6">
        <w:t>.</w:t>
      </w:r>
    </w:p>
    <w:p w:rsidR="00FE1FE6" w:rsidP="00FE1FE6" w:rsidRDefault="00FE1FE6" w14:paraId="53C8FAFE" w14:textId="77777777"/>
    <w:p w:rsidRPr="005302F7" w:rsidR="005302F7" w:rsidP="005302F7" w:rsidRDefault="005302F7" w14:paraId="5938AFF7" w14:textId="77777777">
      <w:pPr>
        <w:spacing w:line="276" w:lineRule="auto"/>
        <w:jc w:val="both"/>
        <w:rPr>
          <w:sz w:val="22"/>
          <w:szCs w:val="20"/>
        </w:rPr>
      </w:pPr>
      <w:r w:rsidRPr="005302F7">
        <w:rPr>
          <w:sz w:val="22"/>
          <w:szCs w:val="20"/>
        </w:rPr>
        <w:t>For å få et overblikk over kunnskapsfeltet for effektiv bruk av personell i sykehus sett i lys av bygg og teknologi er det gjennomført en tradisjonell litteraturgjennomgang med systematiske søk i databasene PubMed/MEDLINE, Scopus, Web of Science og Google Scholar. Søkene dekket publikasjoner fra 2005 til 2026, med særlig vekt på forskning fra de siste ti år. Søketermene ble organisert i fem konsepter (se Tabell 1).</w:t>
      </w:r>
    </w:p>
    <w:tbl>
      <w:tblPr>
        <w:tblStyle w:val="TableGrid"/>
        <w:tblW w:w="0" w:type="auto"/>
        <w:tblLook w:val="04A0" w:firstRow="1" w:lastRow="0" w:firstColumn="1" w:lastColumn="0" w:noHBand="0" w:noVBand="1"/>
      </w:tblPr>
      <w:tblGrid>
        <w:gridCol w:w="1813"/>
        <w:gridCol w:w="1810"/>
        <w:gridCol w:w="1819"/>
        <w:gridCol w:w="1809"/>
        <w:gridCol w:w="1809"/>
      </w:tblGrid>
      <w:tr w:rsidR="005302F7" w14:paraId="6F1DFD34" w14:textId="77777777">
        <w:tc>
          <w:tcPr>
            <w:tcW w:w="1813" w:type="dxa"/>
          </w:tcPr>
          <w:p w:rsidR="005302F7" w:rsidRDefault="005302F7" w14:paraId="6EC36D7F" w14:textId="77777777">
            <w:pPr>
              <w:jc w:val="center"/>
            </w:pPr>
            <w:r>
              <w:rPr>
                <w:b/>
                <w:sz w:val="18"/>
              </w:rPr>
              <w:t>Konsept 1</w:t>
            </w:r>
            <w:r>
              <w:rPr>
                <w:b/>
                <w:sz w:val="18"/>
              </w:rPr>
              <w:br/>
            </w:r>
            <w:r>
              <w:rPr>
                <w:b/>
                <w:sz w:val="18"/>
              </w:rPr>
              <w:t>Helsepersonell</w:t>
            </w:r>
          </w:p>
        </w:tc>
        <w:tc>
          <w:tcPr>
            <w:tcW w:w="1810" w:type="dxa"/>
          </w:tcPr>
          <w:p w:rsidR="005302F7" w:rsidRDefault="005302F7" w14:paraId="5A4C8803" w14:textId="77777777">
            <w:pPr>
              <w:jc w:val="center"/>
            </w:pPr>
            <w:r>
              <w:rPr>
                <w:b/>
                <w:sz w:val="18"/>
              </w:rPr>
              <w:t>Konsept 2</w:t>
            </w:r>
            <w:r>
              <w:rPr>
                <w:b/>
                <w:sz w:val="18"/>
              </w:rPr>
              <w:br/>
            </w:r>
            <w:r>
              <w:rPr>
                <w:b/>
                <w:sz w:val="18"/>
              </w:rPr>
              <w:t>Effektivitet</w:t>
            </w:r>
          </w:p>
        </w:tc>
        <w:tc>
          <w:tcPr>
            <w:tcW w:w="1819" w:type="dxa"/>
          </w:tcPr>
          <w:p w:rsidR="005302F7" w:rsidRDefault="005302F7" w14:paraId="450AC410" w14:textId="77777777">
            <w:pPr>
              <w:jc w:val="center"/>
            </w:pPr>
            <w:r>
              <w:rPr>
                <w:b/>
                <w:sz w:val="18"/>
              </w:rPr>
              <w:t>Konsept 3</w:t>
            </w:r>
            <w:r>
              <w:rPr>
                <w:b/>
                <w:sz w:val="18"/>
              </w:rPr>
              <w:br/>
            </w:r>
            <w:r>
              <w:rPr>
                <w:b/>
                <w:sz w:val="18"/>
              </w:rPr>
              <w:t>Bruk/organisering</w:t>
            </w:r>
          </w:p>
        </w:tc>
        <w:tc>
          <w:tcPr>
            <w:tcW w:w="1809" w:type="dxa"/>
          </w:tcPr>
          <w:p w:rsidR="005302F7" w:rsidRDefault="005302F7" w14:paraId="49108602" w14:textId="77777777">
            <w:pPr>
              <w:jc w:val="center"/>
            </w:pPr>
            <w:r>
              <w:rPr>
                <w:b/>
                <w:sz w:val="18"/>
              </w:rPr>
              <w:t>Konsept 4</w:t>
            </w:r>
            <w:r>
              <w:rPr>
                <w:b/>
                <w:sz w:val="18"/>
              </w:rPr>
              <w:br/>
            </w:r>
            <w:r>
              <w:rPr>
                <w:b/>
                <w:sz w:val="18"/>
              </w:rPr>
              <w:t>Sykehusbygg</w:t>
            </w:r>
          </w:p>
        </w:tc>
        <w:tc>
          <w:tcPr>
            <w:tcW w:w="1809" w:type="dxa"/>
          </w:tcPr>
          <w:p w:rsidR="005302F7" w:rsidRDefault="005302F7" w14:paraId="19F1DFA8" w14:textId="77777777">
            <w:pPr>
              <w:jc w:val="center"/>
            </w:pPr>
            <w:r>
              <w:rPr>
                <w:b/>
                <w:sz w:val="18"/>
              </w:rPr>
              <w:t>Konsept 5</w:t>
            </w:r>
            <w:r>
              <w:rPr>
                <w:b/>
                <w:sz w:val="18"/>
              </w:rPr>
              <w:br/>
            </w:r>
            <w:r>
              <w:rPr>
                <w:b/>
                <w:sz w:val="18"/>
              </w:rPr>
              <w:t>Teknologi</w:t>
            </w:r>
          </w:p>
        </w:tc>
      </w:tr>
      <w:tr w:rsidR="005302F7" w14:paraId="0BDC7C7F" w14:textId="77777777">
        <w:tc>
          <w:tcPr>
            <w:tcW w:w="1813" w:type="dxa"/>
          </w:tcPr>
          <w:p w:rsidR="005302F7" w:rsidRDefault="005302F7" w14:paraId="6C87B78A" w14:textId="77777777">
            <w:r>
              <w:rPr>
                <w:sz w:val="18"/>
              </w:rPr>
              <w:t>Healthcare workforce</w:t>
            </w:r>
          </w:p>
        </w:tc>
        <w:tc>
          <w:tcPr>
            <w:tcW w:w="1810" w:type="dxa"/>
          </w:tcPr>
          <w:p w:rsidR="005302F7" w:rsidRDefault="005302F7" w14:paraId="2D990885" w14:textId="77777777">
            <w:r>
              <w:rPr>
                <w:sz w:val="18"/>
              </w:rPr>
              <w:t>"Efficiency"</w:t>
            </w:r>
          </w:p>
        </w:tc>
        <w:tc>
          <w:tcPr>
            <w:tcW w:w="1819" w:type="dxa"/>
          </w:tcPr>
          <w:p w:rsidR="005302F7" w:rsidRDefault="005302F7" w14:paraId="62E892A2" w14:textId="77777777">
            <w:r>
              <w:rPr>
                <w:sz w:val="18"/>
              </w:rPr>
              <w:t>Utilization</w:t>
            </w:r>
          </w:p>
        </w:tc>
        <w:tc>
          <w:tcPr>
            <w:tcW w:w="1809" w:type="dxa"/>
          </w:tcPr>
          <w:p w:rsidR="005302F7" w:rsidRDefault="005302F7" w14:paraId="0F4E3329" w14:textId="77777777">
            <w:r>
              <w:rPr>
                <w:sz w:val="18"/>
              </w:rPr>
              <w:t>"Hospital design"</w:t>
            </w:r>
          </w:p>
        </w:tc>
        <w:tc>
          <w:tcPr>
            <w:tcW w:w="1809" w:type="dxa"/>
          </w:tcPr>
          <w:p w:rsidR="005302F7" w:rsidRDefault="005302F7" w14:paraId="460D6B5C" w14:textId="77777777">
            <w:r>
              <w:rPr>
                <w:sz w:val="18"/>
              </w:rPr>
              <w:t>"Health information technology"</w:t>
            </w:r>
          </w:p>
        </w:tc>
      </w:tr>
      <w:tr w:rsidR="005302F7" w14:paraId="09C364E6" w14:textId="77777777">
        <w:tc>
          <w:tcPr>
            <w:tcW w:w="1813" w:type="dxa"/>
          </w:tcPr>
          <w:p w:rsidR="005302F7" w:rsidRDefault="005302F7" w14:paraId="24A0BFF9" w14:textId="77777777">
            <w:r>
              <w:rPr>
                <w:sz w:val="18"/>
              </w:rPr>
              <w:t>Health workforce</w:t>
            </w:r>
          </w:p>
        </w:tc>
        <w:tc>
          <w:tcPr>
            <w:tcW w:w="1810" w:type="dxa"/>
          </w:tcPr>
          <w:p w:rsidR="005302F7" w:rsidRDefault="005302F7" w14:paraId="45F170E6" w14:textId="77777777">
            <w:r>
              <w:rPr>
                <w:sz w:val="18"/>
              </w:rPr>
              <w:t>"Workforce efficiency"</w:t>
            </w:r>
          </w:p>
        </w:tc>
        <w:tc>
          <w:tcPr>
            <w:tcW w:w="1819" w:type="dxa"/>
          </w:tcPr>
          <w:p w:rsidR="005302F7" w:rsidRDefault="005302F7" w14:paraId="5A84FF4B" w14:textId="77777777">
            <w:r>
              <w:rPr>
                <w:sz w:val="18"/>
              </w:rPr>
              <w:t>Resource utilization</w:t>
            </w:r>
          </w:p>
        </w:tc>
        <w:tc>
          <w:tcPr>
            <w:tcW w:w="1809" w:type="dxa"/>
          </w:tcPr>
          <w:p w:rsidR="005302F7" w:rsidRDefault="005302F7" w14:paraId="3B42D4FC" w14:textId="77777777">
            <w:r>
              <w:rPr>
                <w:sz w:val="18"/>
              </w:rPr>
              <w:t>"Healthcare facility design"</w:t>
            </w:r>
          </w:p>
        </w:tc>
        <w:tc>
          <w:tcPr>
            <w:tcW w:w="1809" w:type="dxa"/>
          </w:tcPr>
          <w:p w:rsidR="005302F7" w:rsidRDefault="005302F7" w14:paraId="0DF1A13D" w14:textId="77777777">
            <w:r>
              <w:rPr>
                <w:sz w:val="18"/>
              </w:rPr>
              <w:t>"Digital health" / eHealth</w:t>
            </w:r>
          </w:p>
        </w:tc>
      </w:tr>
      <w:tr w:rsidR="005302F7" w14:paraId="05F09DC2" w14:textId="77777777">
        <w:tc>
          <w:tcPr>
            <w:tcW w:w="1813" w:type="dxa"/>
          </w:tcPr>
          <w:p w:rsidR="005302F7" w:rsidRDefault="005302F7" w14:paraId="280286D3" w14:textId="77777777">
            <w:r>
              <w:rPr>
                <w:sz w:val="18"/>
              </w:rPr>
              <w:t>Health personnel</w:t>
            </w:r>
          </w:p>
        </w:tc>
        <w:tc>
          <w:tcPr>
            <w:tcW w:w="1810" w:type="dxa"/>
          </w:tcPr>
          <w:p w:rsidR="005302F7" w:rsidRDefault="005302F7" w14:paraId="03FB1A22" w14:textId="77777777">
            <w:r>
              <w:rPr>
                <w:sz w:val="18"/>
              </w:rPr>
              <w:t>"Productivity"</w:t>
            </w:r>
          </w:p>
        </w:tc>
        <w:tc>
          <w:tcPr>
            <w:tcW w:w="1819" w:type="dxa"/>
          </w:tcPr>
          <w:p w:rsidR="005302F7" w:rsidRDefault="005302F7" w14:paraId="532636C8" w14:textId="77777777">
            <w:r>
              <w:rPr>
                <w:sz w:val="18"/>
              </w:rPr>
              <w:t>"Staff utilization"</w:t>
            </w:r>
          </w:p>
        </w:tc>
        <w:tc>
          <w:tcPr>
            <w:tcW w:w="1809" w:type="dxa"/>
          </w:tcPr>
          <w:p w:rsidR="005302F7" w:rsidRDefault="005302F7" w14:paraId="7C108BD7" w14:textId="77777777">
            <w:r>
              <w:rPr>
                <w:sz w:val="18"/>
              </w:rPr>
              <w:t>"Hospital architecture"</w:t>
            </w:r>
          </w:p>
        </w:tc>
        <w:tc>
          <w:tcPr>
            <w:tcW w:w="1809" w:type="dxa"/>
          </w:tcPr>
          <w:p w:rsidR="005302F7" w:rsidRDefault="005302F7" w14:paraId="21D1BA9B" w14:textId="77777777">
            <w:r>
              <w:rPr>
                <w:sz w:val="18"/>
              </w:rPr>
              <w:t>"Clinical information systems"</w:t>
            </w:r>
          </w:p>
        </w:tc>
      </w:tr>
      <w:tr w:rsidR="005302F7" w14:paraId="0B4860DD" w14:textId="77777777">
        <w:tc>
          <w:tcPr>
            <w:tcW w:w="1813" w:type="dxa"/>
          </w:tcPr>
          <w:p w:rsidR="005302F7" w:rsidRDefault="005302F7" w14:paraId="7AE0DFF5" w14:textId="77777777">
            <w:r>
              <w:rPr>
                <w:sz w:val="18"/>
              </w:rPr>
              <w:t>Healthcare workers</w:t>
            </w:r>
          </w:p>
        </w:tc>
        <w:tc>
          <w:tcPr>
            <w:tcW w:w="1810" w:type="dxa"/>
          </w:tcPr>
          <w:p w:rsidR="005302F7" w:rsidRDefault="005302F7" w14:paraId="1FFCBAF5" w14:textId="77777777">
            <w:r>
              <w:rPr>
                <w:sz w:val="18"/>
              </w:rPr>
              <w:t>"Staff productivity"</w:t>
            </w:r>
          </w:p>
        </w:tc>
        <w:tc>
          <w:tcPr>
            <w:tcW w:w="1819" w:type="dxa"/>
          </w:tcPr>
          <w:p w:rsidR="005302F7" w:rsidRDefault="005302F7" w14:paraId="3D9D13B5" w14:textId="77777777">
            <w:r>
              <w:rPr>
                <w:sz w:val="18"/>
              </w:rPr>
              <w:t>"Workforce management"</w:t>
            </w:r>
          </w:p>
        </w:tc>
        <w:tc>
          <w:tcPr>
            <w:tcW w:w="1809" w:type="dxa"/>
          </w:tcPr>
          <w:p w:rsidR="005302F7" w:rsidRDefault="005302F7" w14:paraId="4E09E444" w14:textId="77777777">
            <w:r>
              <w:rPr>
                <w:sz w:val="18"/>
              </w:rPr>
              <w:t>"Facility layout"</w:t>
            </w:r>
          </w:p>
        </w:tc>
        <w:tc>
          <w:tcPr>
            <w:tcW w:w="1809" w:type="dxa"/>
          </w:tcPr>
          <w:p w:rsidR="005302F7" w:rsidRDefault="005302F7" w14:paraId="6C86D28D" w14:textId="77777777">
            <w:r>
              <w:rPr>
                <w:sz w:val="18"/>
              </w:rPr>
              <w:t>"Electronic health records"</w:t>
            </w:r>
          </w:p>
        </w:tc>
      </w:tr>
      <w:tr w:rsidRPr="00253877" w:rsidR="005302F7" w14:paraId="15C66655" w14:textId="77777777">
        <w:tc>
          <w:tcPr>
            <w:tcW w:w="1813" w:type="dxa"/>
          </w:tcPr>
          <w:p w:rsidR="005302F7" w:rsidRDefault="005302F7" w14:paraId="72B8B8A7" w14:textId="77777777">
            <w:r>
              <w:rPr>
                <w:sz w:val="18"/>
              </w:rPr>
              <w:t>Medical/clinical staff</w:t>
            </w:r>
          </w:p>
        </w:tc>
        <w:tc>
          <w:tcPr>
            <w:tcW w:w="1810" w:type="dxa"/>
          </w:tcPr>
          <w:p w:rsidRPr="001277E2" w:rsidR="005302F7" w:rsidRDefault="005302F7" w14:paraId="3390CB9D" w14:textId="77777777">
            <w:pPr>
              <w:rPr>
                <w:lang w:val="en-US"/>
              </w:rPr>
            </w:pPr>
            <w:r w:rsidRPr="001277E2">
              <w:rPr>
                <w:sz w:val="18"/>
                <w:lang w:val="en-US"/>
              </w:rPr>
              <w:t>"Resource efficiency"</w:t>
            </w:r>
            <w:r w:rsidRPr="001277E2">
              <w:rPr>
                <w:sz w:val="18"/>
                <w:lang w:val="en-US"/>
              </w:rPr>
              <w:br/>
            </w:r>
            <w:r w:rsidRPr="001277E2">
              <w:rPr>
                <w:sz w:val="18"/>
                <w:lang w:val="en-US"/>
              </w:rPr>
              <w:t>"Value-based healthcare"</w:t>
            </w:r>
          </w:p>
        </w:tc>
        <w:tc>
          <w:tcPr>
            <w:tcW w:w="1819" w:type="dxa"/>
          </w:tcPr>
          <w:p w:rsidR="005302F7" w:rsidRDefault="005302F7" w14:paraId="54E02412" w14:textId="77777777">
            <w:r>
              <w:rPr>
                <w:sz w:val="18"/>
              </w:rPr>
              <w:t>"Staffing optimization"</w:t>
            </w:r>
            <w:r>
              <w:rPr>
                <w:sz w:val="18"/>
              </w:rPr>
              <w:br/>
            </w:r>
            <w:r>
              <w:rPr>
                <w:sz w:val="18"/>
              </w:rPr>
              <w:t>"Resource allocation"</w:t>
            </w:r>
          </w:p>
        </w:tc>
        <w:tc>
          <w:tcPr>
            <w:tcW w:w="1809" w:type="dxa"/>
          </w:tcPr>
          <w:p w:rsidRPr="001277E2" w:rsidR="005302F7" w:rsidRDefault="005302F7" w14:paraId="35D49ECE" w14:textId="77777777">
            <w:pPr>
              <w:rPr>
                <w:lang w:val="en-US"/>
              </w:rPr>
            </w:pPr>
            <w:r w:rsidRPr="001277E2">
              <w:rPr>
                <w:sz w:val="18"/>
                <w:lang w:val="en-US"/>
              </w:rPr>
              <w:t>"Spatial design"</w:t>
            </w:r>
            <w:r w:rsidRPr="001277E2">
              <w:rPr>
                <w:sz w:val="18"/>
                <w:lang w:val="en-US"/>
              </w:rPr>
              <w:br/>
            </w:r>
            <w:r w:rsidRPr="001277E2">
              <w:rPr>
                <w:sz w:val="18"/>
                <w:lang w:val="en-US"/>
              </w:rPr>
              <w:t>"Clinical workflow"</w:t>
            </w:r>
            <w:r w:rsidRPr="001277E2">
              <w:rPr>
                <w:sz w:val="18"/>
                <w:lang w:val="en-US"/>
              </w:rPr>
              <w:br/>
            </w:r>
            <w:r w:rsidRPr="001277E2">
              <w:rPr>
                <w:sz w:val="18"/>
                <w:lang w:val="en-US"/>
              </w:rPr>
              <w:t>"Patient flow"</w:t>
            </w:r>
          </w:p>
        </w:tc>
        <w:tc>
          <w:tcPr>
            <w:tcW w:w="1809" w:type="dxa"/>
          </w:tcPr>
          <w:p w:rsidRPr="001277E2" w:rsidR="005302F7" w:rsidRDefault="005302F7" w14:paraId="38DD1DA0" w14:textId="77777777">
            <w:pPr>
              <w:rPr>
                <w:lang w:val="en-US"/>
              </w:rPr>
            </w:pPr>
            <w:r w:rsidRPr="001277E2">
              <w:rPr>
                <w:sz w:val="18"/>
                <w:lang w:val="en-US"/>
              </w:rPr>
              <w:t>"Decision support systems"</w:t>
            </w:r>
            <w:r w:rsidRPr="001277E2">
              <w:rPr>
                <w:sz w:val="18"/>
                <w:lang w:val="en-US"/>
              </w:rPr>
              <w:br/>
            </w:r>
            <w:r w:rsidRPr="001277E2">
              <w:rPr>
                <w:sz w:val="18"/>
                <w:lang w:val="en-US"/>
              </w:rPr>
              <w:t>"Automation"</w:t>
            </w:r>
            <w:r w:rsidRPr="001277E2">
              <w:rPr>
                <w:sz w:val="18"/>
                <w:lang w:val="en-US"/>
              </w:rPr>
              <w:br/>
            </w:r>
            <w:r w:rsidRPr="001277E2">
              <w:rPr>
                <w:sz w:val="18"/>
                <w:lang w:val="en-US"/>
              </w:rPr>
              <w:t>"Medical technology" (MTU)</w:t>
            </w:r>
          </w:p>
        </w:tc>
      </w:tr>
    </w:tbl>
    <w:p w:rsidRPr="001277E2" w:rsidR="005302F7" w:rsidP="005302F7" w:rsidRDefault="005302F7" w14:paraId="7750913C" w14:textId="77777777">
      <w:pPr>
        <w:spacing w:line="360" w:lineRule="auto"/>
        <w:rPr>
          <w:color w:val="AFD0EA" w:themeColor="accent2" w:themeTint="99"/>
          <w:lang w:val="en-US"/>
        </w:rPr>
      </w:pPr>
    </w:p>
    <w:p w:rsidRPr="00A4498B" w:rsidR="005302F7" w:rsidP="2F4126B1" w:rsidRDefault="005302F7" w14:paraId="68E09A23" w14:textId="0F4B1D7F">
      <w:pPr>
        <w:spacing w:line="276" w:lineRule="auto"/>
        <w:rPr>
          <w:sz w:val="22"/>
          <w:szCs w:val="22"/>
        </w:rPr>
      </w:pPr>
      <w:r w:rsidRPr="2F4126B1" w:rsidR="63E7962A">
        <w:rPr>
          <w:sz w:val="22"/>
          <w:szCs w:val="22"/>
        </w:rPr>
        <w:t xml:space="preserve">Inklusjonskriteriene var fagfellevurderte artikler og systematiske oversikter og studier publisert på engelsk eller skandinaviske språk, og studier som eksplisitt undersøkte sammenhengen mellom bygning eller teknologi og personaleffektivitet, ressursutnyttelse eller bemanningsorganisering. Eksklusjonskriteriene var studier som utelukkende fokuserte på pasientutfall uten å inkludere et personellperspektiv, og studier med åpenbare metodologiske svakheter. Totalt ble mer enn 120 publikasjoner identifisert og om lag </w:t>
      </w:r>
      <w:r w:rsidRPr="2F4126B1" w:rsidR="34E9E49B">
        <w:rPr>
          <w:sz w:val="22"/>
          <w:szCs w:val="22"/>
        </w:rPr>
        <w:t>21</w:t>
      </w:r>
      <w:r w:rsidRPr="2F4126B1" w:rsidR="63E7962A">
        <w:rPr>
          <w:sz w:val="22"/>
          <w:szCs w:val="22"/>
        </w:rPr>
        <w:t xml:space="preserve"> ble vurdert som relevante for denne gjennomgangen.</w:t>
      </w:r>
    </w:p>
    <w:p w:rsidRPr="00A4498B" w:rsidR="005302F7" w:rsidP="009B771E" w:rsidRDefault="005302F7" w14:paraId="0B862DEC" w14:textId="77777777">
      <w:pPr>
        <w:spacing w:line="276" w:lineRule="auto"/>
        <w:ind w:firstLine="708"/>
        <w:rPr>
          <w:sz w:val="22"/>
        </w:rPr>
      </w:pPr>
      <w:r w:rsidRPr="00A4498B">
        <w:rPr>
          <w:sz w:val="22"/>
        </w:rPr>
        <w:t>Sykehus er ressurskrevende organisasjoner og kostnader knyttet til personell utgjør 60-70 % av driftsbudsjettene (World Health Organization [WHO], 2020). Søkelys på kostnadseffektivitet og mangel på helsepersonell gjør at spørsmålet om hvordan man best utnytter helsepersonell er strategisk viktig.</w:t>
      </w:r>
    </w:p>
    <w:p w:rsidRPr="00F16BD8" w:rsidR="005302F7" w:rsidP="009B771E" w:rsidRDefault="005302F7" w14:paraId="359C7E38" w14:textId="38BD144C">
      <w:pPr>
        <w:spacing w:line="276" w:lineRule="auto"/>
        <w:ind w:firstLine="708"/>
        <w:jc w:val="both"/>
        <w:rPr>
          <w:sz w:val="22"/>
        </w:rPr>
      </w:pPr>
      <w:r w:rsidRPr="00F16BD8">
        <w:rPr>
          <w:sz w:val="22"/>
        </w:rPr>
        <w:t>Forskningen viser at helsepersonell – særlig sykepleiere – bruker en betydelig andel av arbeidstiden på oppgaver som ikke direkte er rettet mot pasienten, som forflytning mellom rom, søk etter utstyr og administrative gjøremål (Hendrich et al., 200</w:t>
      </w:r>
      <w:r w:rsidRPr="00F16BD8" w:rsidR="00CD5FB9">
        <w:rPr>
          <w:sz w:val="22"/>
        </w:rPr>
        <w:t>8).</w:t>
      </w:r>
    </w:p>
    <w:p w:rsidRPr="00F16BD8" w:rsidR="005302F7" w:rsidP="009B771E" w:rsidRDefault="005302F7" w14:paraId="4FA2E8C2" w14:textId="77777777">
      <w:pPr>
        <w:spacing w:line="276" w:lineRule="auto"/>
        <w:ind w:firstLine="708"/>
        <w:rPr>
          <w:sz w:val="22"/>
        </w:rPr>
      </w:pPr>
      <w:r w:rsidRPr="00F16BD8">
        <w:rPr>
          <w:sz w:val="22"/>
        </w:rPr>
        <w:t xml:space="preserve">Sykehusbygningens form påvirker i stor grad personalets gangdistanse og tidsbruk. Sykepleiere kan tilbakelegge opptil 8-11 kilometer per vakt, og en stor del av denne gangtiden er ikke verdiskapende i klinisk forstand (Hendrich et al., 2008).  </w:t>
      </w:r>
    </w:p>
    <w:p w:rsidR="005302F7" w:rsidP="005335BC" w:rsidRDefault="005302F7" w14:paraId="37C84015" w14:textId="1AC2EB10">
      <w:pPr>
        <w:spacing w:line="276" w:lineRule="auto"/>
        <w:jc w:val="both"/>
        <w:rPr>
          <w:sz w:val="22"/>
        </w:rPr>
      </w:pPr>
      <w:r w:rsidRPr="00C274B8">
        <w:rPr>
          <w:sz w:val="22"/>
        </w:rPr>
        <w:t xml:space="preserve">En kinesisk studie av </w:t>
      </w:r>
      <w:r w:rsidRPr="00C274B8" w:rsidR="00C274B8">
        <w:rPr>
          <w:sz w:val="22"/>
        </w:rPr>
        <w:t xml:space="preserve">Deng, Q., et al. (2023) </w:t>
      </w:r>
      <w:r w:rsidRPr="00C274B8">
        <w:rPr>
          <w:sz w:val="22"/>
        </w:rPr>
        <w:t xml:space="preserve">viste at dobbel-korridor-løsninger med 60 senger ga </w:t>
      </w:r>
      <w:r w:rsidRPr="00C274B8" w:rsidR="00C00AAA">
        <w:rPr>
          <w:sz w:val="22"/>
        </w:rPr>
        <w:t>ca</w:t>
      </w:r>
      <w:r w:rsidRPr="75683177" w:rsidR="049992D8">
        <w:rPr>
          <w:sz w:val="22"/>
        </w:rPr>
        <w:t>.</w:t>
      </w:r>
      <w:r w:rsidRPr="00C274B8" w:rsidR="00C00AAA">
        <w:rPr>
          <w:sz w:val="22"/>
        </w:rPr>
        <w:t xml:space="preserve"> </w:t>
      </w:r>
      <w:r w:rsidRPr="00C274B8">
        <w:rPr>
          <w:sz w:val="22"/>
        </w:rPr>
        <w:t>35</w:t>
      </w:r>
      <w:r w:rsidRPr="00C274B8" w:rsidR="00C00AAA">
        <w:rPr>
          <w:sz w:val="22"/>
        </w:rPr>
        <w:t xml:space="preserve"> </w:t>
      </w:r>
      <w:r w:rsidRPr="00C274B8">
        <w:rPr>
          <w:sz w:val="22"/>
        </w:rPr>
        <w:t>% høyere effektivitet ved visitter enn enkle korridor-løsninger</w:t>
      </w:r>
      <w:r w:rsidRPr="00C274B8" w:rsidR="00C274B8">
        <w:rPr>
          <w:sz w:val="22"/>
        </w:rPr>
        <w:t>.</w:t>
      </w:r>
    </w:p>
    <w:p w:rsidRPr="00C274B8" w:rsidR="00C274B8" w:rsidP="005335BC" w:rsidRDefault="009B6B48" w14:paraId="4D4488F0" w14:textId="6ED8F262">
      <w:pPr>
        <w:spacing w:line="276" w:lineRule="auto"/>
        <w:jc w:val="both"/>
        <w:rPr>
          <w:sz w:val="22"/>
        </w:rPr>
      </w:pPr>
      <w:r>
        <w:rPr>
          <w:sz w:val="22"/>
        </w:rPr>
        <w:t xml:space="preserve">I forbindelse med planleggingen av Mjøssykehuset </w:t>
      </w:r>
      <w:r w:rsidR="006C6AA6">
        <w:rPr>
          <w:sz w:val="22"/>
        </w:rPr>
        <w:t xml:space="preserve">gjorde SINTEF en analyse av gangavstander på dobbeltkorridor og enkelkorridor. </w:t>
      </w:r>
      <w:r w:rsidR="00027F15">
        <w:rPr>
          <w:sz w:val="22"/>
        </w:rPr>
        <w:t xml:space="preserve">Denne analysen støtter opp om at dobbeltkorridor gir mer </w:t>
      </w:r>
      <w:r w:rsidRPr="3C02D724" w:rsidR="00027F15">
        <w:rPr>
          <w:sz w:val="22"/>
        </w:rPr>
        <w:t>kompakte</w:t>
      </w:r>
      <w:r w:rsidRPr="3C02D724" w:rsidR="74843A9E">
        <w:rPr>
          <w:sz w:val="22"/>
        </w:rPr>
        <w:t xml:space="preserve"> </w:t>
      </w:r>
      <w:r w:rsidRPr="3C02D724" w:rsidR="00027F15">
        <w:rPr>
          <w:sz w:val="22"/>
        </w:rPr>
        <w:t>bygg</w:t>
      </w:r>
      <w:r w:rsidR="00027F15">
        <w:rPr>
          <w:sz w:val="22"/>
        </w:rPr>
        <w:t xml:space="preserve">, med </w:t>
      </w:r>
      <w:r w:rsidR="001557B0">
        <w:rPr>
          <w:sz w:val="22"/>
        </w:rPr>
        <w:t>kortere gangavstander.</w:t>
      </w:r>
    </w:p>
    <w:p w:rsidRPr="000D499B" w:rsidR="005302F7" w:rsidP="005335BC" w:rsidRDefault="005302F7" w14:paraId="184F24CC" w14:textId="6D67066F">
      <w:pPr>
        <w:spacing w:line="276" w:lineRule="auto"/>
        <w:jc w:val="both"/>
        <w:rPr>
          <w:sz w:val="22"/>
        </w:rPr>
      </w:pPr>
      <w:r w:rsidRPr="000D499B">
        <w:rPr>
          <w:sz w:val="22"/>
        </w:rPr>
        <w:t xml:space="preserve">Sentraliserte eller desentraliserte arbeidsstasjoner diskuteres ofte i sykehusplanlegging. En sentralisert arbeidsstasjon samler ressurser, muliggjør teamkommunikasjon og gir oversikt over avdelingen, men øker gangdistansen til pasientrommene. Desentraliserte arbeidsstasjoner nærmest pasientrommene reduserer gangdistansen, men kan fragmentere teamarbeid og øke kostnader gjennom duplisering av utstyr (Hendrich </w:t>
      </w:r>
      <w:r w:rsidR="00B64978">
        <w:rPr>
          <w:sz w:val="22"/>
        </w:rPr>
        <w:t>et al</w:t>
      </w:r>
      <w:r w:rsidRPr="000D499B">
        <w:rPr>
          <w:sz w:val="22"/>
        </w:rPr>
        <w:t>, 2008).</w:t>
      </w:r>
    </w:p>
    <w:p w:rsidRPr="000E28D0" w:rsidR="00101618" w:rsidP="005335BC" w:rsidRDefault="005302F7" w14:paraId="0C7D6B31" w14:textId="77777777">
      <w:pPr>
        <w:spacing w:line="276" w:lineRule="auto"/>
        <w:jc w:val="both"/>
        <w:rPr>
          <w:sz w:val="22"/>
        </w:rPr>
      </w:pPr>
      <w:r w:rsidRPr="000E28D0">
        <w:rPr>
          <w:sz w:val="22"/>
        </w:rPr>
        <w:t xml:space="preserve">Forskning gjennomgått av Knoll (2010) og Chaudhury et al. (2009) konkluderte med at verken sentralisert eller desentralisert </w:t>
      </w:r>
      <w:r w:rsidRPr="000E28D0" w:rsidR="00C00AAA">
        <w:rPr>
          <w:sz w:val="22"/>
        </w:rPr>
        <w:t>arbeids</w:t>
      </w:r>
      <w:r w:rsidRPr="000E28D0">
        <w:rPr>
          <w:sz w:val="22"/>
        </w:rPr>
        <w:t>stasjon er entydig overlegen. Anbefalingen er en hybridløsning med én sentral sykepleierstasjon kombinert med 2–3 desentraliserte arbeidsstasjoner, der de mest kritisk syke plasseres nærmest arbeidsstasjonen for å maksimere visuell overvåking</w:t>
      </w:r>
      <w:r w:rsidRPr="000E28D0" w:rsidR="00101618">
        <w:rPr>
          <w:sz w:val="22"/>
        </w:rPr>
        <w:t>.</w:t>
      </w:r>
      <w:r w:rsidRPr="000E28D0">
        <w:rPr>
          <w:sz w:val="22"/>
        </w:rPr>
        <w:t xml:space="preserve"> </w:t>
      </w:r>
    </w:p>
    <w:p w:rsidRPr="009B771E" w:rsidR="005302F7" w:rsidP="005335BC" w:rsidRDefault="005302F7" w14:paraId="2F435E4F" w14:textId="3D29306F">
      <w:pPr>
        <w:spacing w:line="276" w:lineRule="auto"/>
        <w:jc w:val="both"/>
        <w:rPr>
          <w:sz w:val="22"/>
        </w:rPr>
      </w:pPr>
      <w:r w:rsidRPr="009B771E">
        <w:rPr>
          <w:sz w:val="22"/>
        </w:rPr>
        <w:t>Gharaveis et al. (2018) dokumenterte at arbeidsstasjoner med direkte siktlinjer til pasientrommene reduserer responstid og øker andelen tid brukt på direkte pasientomsorg.</w:t>
      </w:r>
    </w:p>
    <w:p w:rsidR="003239D6" w:rsidP="00471C29" w:rsidRDefault="003239D6" w14:paraId="4112D988" w14:textId="77777777">
      <w:pPr>
        <w:spacing w:after="120" w:line="272" w:lineRule="auto"/>
        <w:ind w:left="140"/>
        <w:rPr>
          <w:b/>
          <w:bCs/>
        </w:rPr>
      </w:pPr>
    </w:p>
    <w:p w:rsidRPr="00471C29" w:rsidR="00F715D6" w:rsidP="2F4126B1" w:rsidRDefault="00F715D6" w14:paraId="5F2F525D" w14:textId="48027B63">
      <w:pPr>
        <w:pStyle w:val="Normal"/>
        <w:spacing w:after="120" w:line="272" w:lineRule="auto"/>
        <w:ind w:left="140"/>
      </w:pPr>
      <w:r w:rsidRPr="2F4126B1" w:rsidR="1E16F986">
        <w:rPr>
          <w:rFonts w:ascii="Segoe UI" w:hAnsi="Segoe UI" w:eastAsia="Segoe UI" w:cs="Segoe UI"/>
          <w:b w:val="0"/>
          <w:bCs w:val="0"/>
          <w:i w:val="1"/>
          <w:iCs w:val="1"/>
          <w:caps w:val="0"/>
          <w:smallCaps w:val="0"/>
          <w:noProof w:val="0"/>
          <w:color w:val="242424"/>
          <w:sz w:val="21"/>
          <w:szCs w:val="21"/>
          <w:lang w:val="nb-NO"/>
        </w:rPr>
        <w:t xml:space="preserve">Sykehusbygg anbefaler derfor at helsebygg planlegges og dimensjoneres for størst mulig grad av personelleffektivitet. Benyttelse av en kompakt og standardisert layout med sengetun og kort vei til </w:t>
      </w:r>
      <w:r w:rsidRPr="2F4126B1" w:rsidR="1E16F986">
        <w:rPr>
          <w:rFonts w:ascii="Segoe UI" w:hAnsi="Segoe UI" w:eastAsia="Segoe UI" w:cs="Segoe UI"/>
          <w:b w:val="0"/>
          <w:bCs w:val="0"/>
          <w:i w:val="1"/>
          <w:iCs w:val="1"/>
          <w:caps w:val="0"/>
          <w:smallCaps w:val="0"/>
          <w:noProof w:val="0"/>
          <w:color w:val="242424"/>
          <w:sz w:val="21"/>
          <w:szCs w:val="21"/>
          <w:lang w:val="nb-NO"/>
        </w:rPr>
        <w:t>nærlager</w:t>
      </w:r>
      <w:r w:rsidRPr="2F4126B1" w:rsidR="1DF958D4">
        <w:rPr>
          <w:i w:val="1"/>
          <w:iCs w:val="1"/>
          <w:sz w:val="22"/>
          <w:szCs w:val="22"/>
        </w:rPr>
        <w:t xml:space="preserve"> og siktlinjer til pasienten, og dimensjoner poststørrelsen (24–30 senger) for effektiv bemanning på ubekvem tid</w:t>
      </w:r>
      <w:r w:rsidRPr="2F4126B1" w:rsidR="1DF958D4">
        <w:rPr>
          <w:i w:val="1"/>
          <w:iCs w:val="1"/>
        </w:rPr>
        <w:t>.</w:t>
      </w:r>
    </w:p>
    <w:p w:rsidRPr="005335BC" w:rsidR="00F715D6" w:rsidP="005335BC" w:rsidRDefault="00F715D6" w14:paraId="3AB824A1" w14:textId="77777777">
      <w:pPr>
        <w:spacing w:line="276" w:lineRule="auto"/>
        <w:jc w:val="both"/>
        <w:rPr>
          <w:color w:val="7AB2DC" w:themeColor="accent2"/>
          <w:sz w:val="22"/>
        </w:rPr>
      </w:pPr>
    </w:p>
    <w:p w:rsidRPr="00A03A20" w:rsidR="005302F7" w:rsidP="005335BC" w:rsidRDefault="005302F7" w14:paraId="4685B904" w14:textId="4AA751E9">
      <w:pPr>
        <w:spacing w:line="276" w:lineRule="auto"/>
        <w:jc w:val="both"/>
        <w:rPr>
          <w:sz w:val="22"/>
        </w:rPr>
      </w:pPr>
      <w:r w:rsidRPr="00A03A20">
        <w:rPr>
          <w:sz w:val="22"/>
        </w:rPr>
        <w:t>Overgangen fra flersengs- til eneroms-sengepost er en global trend. Chaudhury et al. (2006) dokumenterte at enerom reduserer overflyttingskostnader, øker sengeutnyttelsen og bidrar til reduserte arbeidskostnader sammenlignet med flersengsrom</w:t>
      </w:r>
      <w:r w:rsidRPr="00A03A20" w:rsidR="00087903">
        <w:rPr>
          <w:sz w:val="22"/>
        </w:rPr>
        <w:t xml:space="preserve">. </w:t>
      </w:r>
      <w:r w:rsidRPr="00A03A20">
        <w:rPr>
          <w:sz w:val="22"/>
        </w:rPr>
        <w:t xml:space="preserve"> NHS Health Technology Group (2016) og Regioner.dk (2012) konkluderer imidlertid med at eneroms-design øker gangdistansen. For at ikke personellressursene må økes er det behov for både designgrep og teknologi. Glass i dør eller vegg inn til pasientrommet muliggjør visuell overvåking fra arbeidsstasjonene, mens pasientvarslingssystemer og lokaliseringssystemer kompenserer for den økte gangdistansen. Dette illustrerer tydelig at bygg og teknologi best virker som komplementære virkemidler snarere enn separate løsninger.</w:t>
      </w:r>
    </w:p>
    <w:p w:rsidR="00471C29" w:rsidP="005335BC" w:rsidRDefault="00471C29" w14:paraId="5C90ABFF" w14:textId="77777777">
      <w:pPr>
        <w:spacing w:line="276" w:lineRule="auto"/>
        <w:jc w:val="both"/>
        <w:rPr>
          <w:color w:val="7AB2DC" w:themeColor="accent2"/>
          <w:sz w:val="22"/>
        </w:rPr>
      </w:pPr>
    </w:p>
    <w:p w:rsidRPr="00471C29" w:rsidR="00471C29" w:rsidP="2F4126B1" w:rsidRDefault="00471C29" w14:paraId="67AC9585" w14:textId="04D7BF42">
      <w:pPr>
        <w:pStyle w:val="Normal"/>
        <w:spacing w:after="120" w:line="272" w:lineRule="auto"/>
        <w:ind w:left="140"/>
        <w:rPr>
          <w:rFonts w:ascii="Segoe UI" w:hAnsi="Segoe UI" w:eastAsia="Segoe UI" w:cs="Segoe UI"/>
          <w:i w:val="1"/>
          <w:iCs w:val="1"/>
          <w:noProof w:val="0"/>
          <w:sz w:val="21"/>
          <w:szCs w:val="21"/>
          <w:lang w:val="nb-NO"/>
        </w:rPr>
      </w:pPr>
      <w:r w:rsidRPr="2F4126B1" w:rsidR="2DEA7D5C">
        <w:rPr>
          <w:rFonts w:ascii="Segoe UI" w:hAnsi="Segoe UI" w:eastAsia="Segoe UI" w:cs="Segoe UI"/>
          <w:b w:val="0"/>
          <w:bCs w:val="0"/>
          <w:i w:val="1"/>
          <w:iCs w:val="1"/>
          <w:caps w:val="0"/>
          <w:smallCaps w:val="0"/>
          <w:noProof w:val="0"/>
          <w:color w:val="242424"/>
          <w:sz w:val="21"/>
          <w:szCs w:val="21"/>
          <w:lang w:val="nb-NO"/>
        </w:rPr>
        <w:t xml:space="preserve">Sykehusbygg anbefaler ensengsrom med gode siktlinjer, desentralisert logistikk og automatisert forsyning for minst mulig gangtid. </w:t>
      </w:r>
    </w:p>
    <w:p w:rsidRPr="00471C29" w:rsidR="00471C29" w:rsidP="2F4126B1" w:rsidRDefault="00471C29" w14:paraId="06D9BE95" w14:textId="3B554F71">
      <w:pPr>
        <w:pStyle w:val="Normal"/>
        <w:spacing w:after="120" w:line="272" w:lineRule="auto"/>
        <w:ind w:left="140"/>
        <w:rPr>
          <w:i w:val="1"/>
          <w:iCs w:val="1"/>
          <w:sz w:val="22"/>
          <w:szCs w:val="22"/>
        </w:rPr>
      </w:pPr>
      <w:r w:rsidRPr="2F4126B1" w:rsidR="2DEA7D5C">
        <w:rPr>
          <w:rFonts w:ascii="Segoe UI" w:hAnsi="Segoe UI" w:eastAsia="Segoe UI" w:cs="Segoe UI"/>
          <w:b w:val="0"/>
          <w:bCs w:val="0"/>
          <w:i w:val="1"/>
          <w:iCs w:val="1"/>
          <w:caps w:val="0"/>
          <w:smallCaps w:val="0"/>
          <w:noProof w:val="0"/>
          <w:color w:val="242424"/>
          <w:sz w:val="21"/>
          <w:szCs w:val="21"/>
          <w:lang w:val="nb-NO"/>
        </w:rPr>
        <w:t>Sykehusbygg anbefaler at helsebygg planlegges med logistikkteknologi</w:t>
      </w:r>
      <w:r w:rsidRPr="2F4126B1" w:rsidR="4B9F859F">
        <w:rPr>
          <w:b w:val="1"/>
          <w:bCs w:val="1"/>
          <w:i w:val="1"/>
          <w:iCs w:val="1"/>
          <w:sz w:val="22"/>
          <w:szCs w:val="22"/>
        </w:rPr>
        <w:t xml:space="preserve">. </w:t>
      </w:r>
      <w:r w:rsidRPr="2F4126B1" w:rsidR="4B9F859F">
        <w:rPr>
          <w:i w:val="1"/>
          <w:iCs w:val="1"/>
          <w:sz w:val="22"/>
          <w:szCs w:val="22"/>
        </w:rPr>
        <w:t>Planlegg AGV-korridorer, egne heiser, ladesoner og</w:t>
      </w:r>
      <w:r w:rsidRPr="2F4126B1" w:rsidR="21AFF082">
        <w:rPr>
          <w:rFonts w:ascii="Segoe UI" w:hAnsi="Segoe UI" w:eastAsia="Segoe UI" w:cs="Segoe UI"/>
          <w:b w:val="0"/>
          <w:bCs w:val="0"/>
          <w:i w:val="1"/>
          <w:iCs w:val="1"/>
          <w:caps w:val="0"/>
          <w:smallCaps w:val="0"/>
          <w:noProof w:val="0"/>
          <w:color w:val="242424"/>
          <w:sz w:val="21"/>
          <w:szCs w:val="21"/>
          <w:lang w:val="nb-NO"/>
        </w:rPr>
        <w:t xml:space="preserve"> infrastruktur for sanntidslokaliseringssystemer (RTLS) </w:t>
      </w:r>
      <w:r w:rsidRPr="2F4126B1" w:rsidR="4B9F859F">
        <w:rPr>
          <w:i w:val="1"/>
          <w:iCs w:val="1"/>
          <w:sz w:val="22"/>
          <w:szCs w:val="22"/>
        </w:rPr>
        <w:t>fra start</w:t>
      </w:r>
      <w:r w:rsidRPr="2F4126B1" w:rsidR="10BE0286">
        <w:rPr>
          <w:i w:val="1"/>
          <w:iCs w:val="1"/>
          <w:sz w:val="22"/>
          <w:szCs w:val="22"/>
        </w:rPr>
        <w:t>.</w:t>
      </w:r>
    </w:p>
    <w:p w:rsidRPr="005335BC" w:rsidR="00471C29" w:rsidP="005335BC" w:rsidRDefault="00471C29" w14:paraId="784C763B" w14:textId="77777777">
      <w:pPr>
        <w:spacing w:line="276" w:lineRule="auto"/>
        <w:jc w:val="both"/>
        <w:rPr>
          <w:color w:val="7AB2DC" w:themeColor="accent2"/>
          <w:sz w:val="22"/>
        </w:rPr>
      </w:pPr>
    </w:p>
    <w:p w:rsidRPr="00BA5572" w:rsidR="005302F7" w:rsidP="005335BC" w:rsidRDefault="005302F7" w14:paraId="1317B0C3" w14:textId="0D7041DB">
      <w:pPr>
        <w:spacing w:line="276" w:lineRule="auto"/>
        <w:rPr>
          <w:sz w:val="22"/>
        </w:rPr>
      </w:pPr>
      <w:r w:rsidRPr="00BA5572">
        <w:rPr>
          <w:sz w:val="22"/>
        </w:rPr>
        <w:t>Prinsippet om at funksjonelt relaterte avdelinger bør plasseres i nær tilknytning til hverandre er veldokumentert som en personaleffektiviserende strategi (Academia.edu, 2024). Det samme gjelder støtterom som det er behov for i en avdeling, som f.eks</w:t>
      </w:r>
      <w:r w:rsidRPr="3C02D724" w:rsidR="6B4B97F9">
        <w:rPr>
          <w:sz w:val="22"/>
        </w:rPr>
        <w:t>.</w:t>
      </w:r>
      <w:r w:rsidRPr="00BA5572">
        <w:rPr>
          <w:sz w:val="22"/>
        </w:rPr>
        <w:t xml:space="preserve"> lager, desinfeksjonsrom og medisinrom.</w:t>
      </w:r>
    </w:p>
    <w:p w:rsidRPr="005335BC" w:rsidR="005302F7" w:rsidP="2F4126B1" w:rsidRDefault="005302F7" w14:paraId="0EE4E84F" w14:textId="63751477">
      <w:pPr>
        <w:spacing w:line="276" w:lineRule="auto"/>
        <w:jc w:val="both"/>
        <w:rPr>
          <w:color w:val="7AB2DC" w:themeColor="accent2"/>
          <w:sz w:val="22"/>
          <w:szCs w:val="22"/>
        </w:rPr>
      </w:pPr>
      <w:r w:rsidRPr="2F4126B1" w:rsidR="63E7962A">
        <w:rPr>
          <w:sz w:val="22"/>
          <w:szCs w:val="22"/>
        </w:rPr>
        <w:t>En 36-sykehus tids- og bevegelsesstudie</w:t>
      </w:r>
      <w:r w:rsidRPr="2F4126B1" w:rsidR="63E7962A">
        <w:rPr>
          <w:sz w:val="22"/>
          <w:szCs w:val="22"/>
        </w:rPr>
        <w:t xml:space="preserve"> dokumenterte at sykepleiere kun bruker 19,3 % av sin arbeidstid på direkte pasientomsorg, og at en stor del av resterende tid medgår til å gå, søke etter og </w:t>
      </w:r>
      <w:r w:rsidRPr="2F4126B1" w:rsidR="63E7962A">
        <w:rPr>
          <w:sz w:val="22"/>
          <w:szCs w:val="22"/>
        </w:rPr>
        <w:t>hente utstyr</w:t>
      </w:r>
      <w:r w:rsidRPr="2F4126B1" w:rsidR="7FBD246E">
        <w:rPr>
          <w:sz w:val="22"/>
          <w:szCs w:val="22"/>
        </w:rPr>
        <w:t xml:space="preserve"> (Hendrich et al., 2008).</w:t>
      </w:r>
      <w:r w:rsidRPr="2F4126B1" w:rsidR="63E7962A">
        <w:rPr>
          <w:sz w:val="22"/>
          <w:szCs w:val="22"/>
        </w:rPr>
        <w:t xml:space="preserve"> Sanntidslokaliseringssystemer (RTLS) er lokale systemer som identifiserer og sporer den fysiske plasseringen av utstyr, pasienter og personell i sanntid</w:t>
      </w:r>
      <w:r w:rsidRPr="2F4126B1" w:rsidR="3C467206">
        <w:rPr>
          <w:sz w:val="22"/>
          <w:szCs w:val="22"/>
        </w:rPr>
        <w:t xml:space="preserve"> </w:t>
      </w:r>
      <w:r w:rsidRPr="2F4126B1" w:rsidR="22FF3F52">
        <w:rPr>
          <w:sz w:val="22"/>
          <w:szCs w:val="22"/>
        </w:rPr>
        <w:t>(</w:t>
      </w:r>
      <w:r w:rsidRPr="2F4126B1" w:rsidR="3C467206">
        <w:rPr>
          <w:sz w:val="22"/>
          <w:szCs w:val="22"/>
        </w:rPr>
        <w:t>Boulos</w:t>
      </w:r>
      <w:r w:rsidRPr="2F4126B1" w:rsidR="3C467206">
        <w:rPr>
          <w:sz w:val="22"/>
          <w:szCs w:val="22"/>
        </w:rPr>
        <w:t xml:space="preserve">, </w:t>
      </w:r>
      <w:r w:rsidRPr="2F4126B1" w:rsidR="22FF3F52">
        <w:rPr>
          <w:sz w:val="22"/>
          <w:szCs w:val="22"/>
        </w:rPr>
        <w:t xml:space="preserve">K. </w:t>
      </w:r>
      <w:r w:rsidRPr="2F4126B1" w:rsidR="3C467206">
        <w:rPr>
          <w:sz w:val="22"/>
          <w:szCs w:val="22"/>
        </w:rPr>
        <w:t xml:space="preserve">M. </w:t>
      </w:r>
      <w:r w:rsidRPr="2F4126B1" w:rsidR="3C467206">
        <w:rPr>
          <w:sz w:val="22"/>
          <w:szCs w:val="22"/>
        </w:rPr>
        <w:t xml:space="preserve">N. </w:t>
      </w:r>
      <w:r w:rsidRPr="2F4126B1" w:rsidR="22FF3F52">
        <w:rPr>
          <w:sz w:val="22"/>
          <w:szCs w:val="22"/>
        </w:rPr>
        <w:t>&amp;</w:t>
      </w:r>
      <w:r w:rsidRPr="2F4126B1" w:rsidR="3C467206">
        <w:rPr>
          <w:sz w:val="22"/>
          <w:szCs w:val="22"/>
        </w:rPr>
        <w:t xml:space="preserve"> Berry</w:t>
      </w:r>
      <w:r w:rsidRPr="2F4126B1" w:rsidR="22FF3F52">
        <w:rPr>
          <w:sz w:val="22"/>
          <w:szCs w:val="22"/>
        </w:rPr>
        <w:t xml:space="preserve">, G., </w:t>
      </w:r>
      <w:r w:rsidRPr="2F4126B1" w:rsidR="3C467206">
        <w:rPr>
          <w:sz w:val="22"/>
          <w:szCs w:val="22"/>
        </w:rPr>
        <w:t>2012).</w:t>
      </w:r>
      <w:r w:rsidRPr="2F4126B1" w:rsidR="63E7962A">
        <w:rPr>
          <w:sz w:val="22"/>
          <w:szCs w:val="22"/>
        </w:rPr>
        <w:t xml:space="preserve"> En systematisk gjennomgang av </w:t>
      </w:r>
      <w:r w:rsidRPr="2F4126B1" w:rsidR="0400E8C4">
        <w:rPr>
          <w:sz w:val="22"/>
          <w:szCs w:val="22"/>
        </w:rPr>
        <w:t>Overmann, K. M., et al. (2021)</w:t>
      </w:r>
      <w:r w:rsidRPr="2F4126B1" w:rsidR="0E66DA7D">
        <w:rPr>
          <w:sz w:val="22"/>
          <w:szCs w:val="22"/>
        </w:rPr>
        <w:t xml:space="preserve"> </w:t>
      </w:r>
      <w:r w:rsidRPr="2F4126B1" w:rsidR="63E7962A">
        <w:rPr>
          <w:sz w:val="22"/>
          <w:szCs w:val="22"/>
        </w:rPr>
        <w:t xml:space="preserve">fant at RTLS-systemer mest effektivt brukes til utstyrsoppsøking og pasientsporing, men identifiserte teknologiske, organisatoriske og </w:t>
      </w:r>
      <w:r w:rsidRPr="2F4126B1" w:rsidR="63E7962A">
        <w:rPr>
          <w:sz w:val="22"/>
          <w:szCs w:val="22"/>
        </w:rPr>
        <w:t>materi</w:t>
      </w:r>
      <w:r w:rsidRPr="2F4126B1" w:rsidR="6DFE407E">
        <w:rPr>
          <w:sz w:val="22"/>
          <w:szCs w:val="22"/>
        </w:rPr>
        <w:t>ell</w:t>
      </w:r>
      <w:r w:rsidRPr="2F4126B1" w:rsidR="63E7962A">
        <w:rPr>
          <w:sz w:val="22"/>
          <w:szCs w:val="22"/>
        </w:rPr>
        <w:t>messige</w:t>
      </w:r>
      <w:r w:rsidRPr="2F4126B1" w:rsidR="63E7962A">
        <w:rPr>
          <w:sz w:val="22"/>
          <w:szCs w:val="22"/>
        </w:rPr>
        <w:t xml:space="preserve"> barrierer for vellykket implementering</w:t>
      </w:r>
      <w:r w:rsidRPr="2F4126B1" w:rsidR="766057E4">
        <w:rPr>
          <w:sz w:val="22"/>
          <w:szCs w:val="22"/>
        </w:rPr>
        <w:t>.</w:t>
      </w:r>
    </w:p>
    <w:p w:rsidRPr="008413B6" w:rsidR="005302F7" w:rsidP="005335BC" w:rsidRDefault="005302F7" w14:paraId="7EB0CC67" w14:textId="10EF336F">
      <w:pPr>
        <w:spacing w:line="276" w:lineRule="auto"/>
        <w:jc w:val="both"/>
        <w:rPr>
          <w:sz w:val="22"/>
        </w:rPr>
      </w:pPr>
      <w:r w:rsidRPr="008413B6">
        <w:rPr>
          <w:sz w:val="22"/>
        </w:rPr>
        <w:t>Stamford Health implementerte RTLS i sitt nye sykehus og oppnådde besparelser på USD 627 412 over syv måneder gjennom forbedret sengeeffektivitet (HFM Magazine, 2017). Tseng et al. (2025) bekreftet at RTLS i radiologiavdelinger styrker utstyrshåndtering og øker operasjonell effektivitet, og representerer en viktig byggestein i smarte sykehussystemer.</w:t>
      </w:r>
    </w:p>
    <w:p w:rsidRPr="00FC7584" w:rsidR="005302F7" w:rsidP="005335BC" w:rsidRDefault="005302F7" w14:paraId="5F9E83FA" w14:textId="728B2229">
      <w:pPr>
        <w:spacing w:line="276" w:lineRule="auto"/>
        <w:rPr>
          <w:sz w:val="22"/>
        </w:rPr>
      </w:pPr>
      <w:r w:rsidRPr="00FC7584">
        <w:rPr>
          <w:sz w:val="22"/>
        </w:rPr>
        <w:t xml:space="preserve">Elektronisk pasientjournal (EPJ) er i dag implementert på alle norske sykehus. Point-of-care-løsninger – særlig nettbrett ved sengen – gir generelt bedre resultater enn stasjonære datamaskiner på sentraliserte arbeidsstasjoner. </w:t>
      </w:r>
      <w:r w:rsidRPr="00FC7584" w:rsidR="00FC7584">
        <w:rPr>
          <w:sz w:val="22"/>
        </w:rPr>
        <w:t xml:space="preserve">Pérez-Martí, M., et al. (2022) </w:t>
      </w:r>
      <w:r w:rsidRPr="00FC7584">
        <w:rPr>
          <w:sz w:val="22"/>
        </w:rPr>
        <w:t xml:space="preserve">dokumenterte i en pre-post-studie at nettbrett ved sengen reduserte sykepleiernes dokumentasjonstid og forbedret pleieprosessen, men understrekte at opplæring og ansattinvolvering er avgjørende for vellykket implementering. For at EPJ ved sengen skal fungere godt i praksis er det avhengig av godt nett, tilstrekkelig antall ladestasjoner og ergonomisk plasserte løsningsmoduler nær pasientrommene. </w:t>
      </w:r>
    </w:p>
    <w:p w:rsidRPr="007044C0" w:rsidR="00DB306D" w:rsidP="007044C0" w:rsidRDefault="00DB306D" w14:paraId="088C0BF0" w14:textId="20031636">
      <w:pPr>
        <w:spacing w:line="276" w:lineRule="auto"/>
        <w:ind w:firstLine="709"/>
        <w:jc w:val="both"/>
        <w:rPr>
          <w:sz w:val="22"/>
        </w:rPr>
      </w:pPr>
      <w:r w:rsidRPr="3C02D724">
        <w:rPr>
          <w:sz w:val="22"/>
        </w:rPr>
        <w:t>Internasjonale perspektiver på fremtidens sykehus understreker behovet for bygninger designet for fleksibilitet, teknologiadopsjon og a</w:t>
      </w:r>
      <w:r w:rsidRPr="3C02D724">
        <w:rPr>
          <w:rFonts w:eastAsiaTheme="minorEastAsia"/>
          <w:sz w:val="22"/>
        </w:rPr>
        <w:t xml:space="preserve">daptivt personellbruk. </w:t>
      </w:r>
      <w:r w:rsidRPr="3C02D724" w:rsidR="00443AC6">
        <w:rPr>
          <w:rFonts w:eastAsiaTheme="minorEastAsia"/>
          <w:sz w:val="22"/>
        </w:rPr>
        <w:t>Sebire, N. J., et al. (2025)</w:t>
      </w:r>
      <w:r w:rsidR="00443AC6">
        <w:t xml:space="preserve"> </w:t>
      </w:r>
      <w:r w:rsidRPr="3C02D724">
        <w:rPr>
          <w:sz w:val="22"/>
        </w:rPr>
        <w:t>publisert i International Journal of Health Planning and Management, fant at teknologi har potensiale til å transformere sykehustjenester, men at eksisterende bygningsstrukturer begrenser adopsjon av avanserte teknologier og nye arbeidsprosesser</w:t>
      </w:r>
      <w:r w:rsidRPr="3C02D724" w:rsidR="00443AC6">
        <w:rPr>
          <w:sz w:val="22"/>
        </w:rPr>
        <w:t>.</w:t>
      </w:r>
    </w:p>
    <w:p w:rsidR="00561F0C" w:rsidP="2F4126B1" w:rsidRDefault="00C23869" w14:paraId="5F8B9CCB" w14:textId="605251B0">
      <w:pPr>
        <w:pStyle w:val="Normal"/>
        <w:spacing w:line="276" w:lineRule="auto"/>
        <w:rPr>
          <w:sz w:val="22"/>
          <w:szCs w:val="22"/>
        </w:rPr>
      </w:pPr>
      <w:r w:rsidRPr="2F4126B1" w:rsidR="35EDE4B1">
        <w:rPr>
          <w:rFonts w:eastAsia="" w:eastAsiaTheme="minorEastAsia"/>
          <w:sz w:val="22"/>
          <w:szCs w:val="22"/>
        </w:rPr>
        <w:t>Jevtic</w:t>
      </w:r>
      <w:r w:rsidRPr="2F4126B1" w:rsidR="35EDE4B1">
        <w:rPr>
          <w:rFonts w:eastAsia="" w:eastAsiaTheme="minorEastAsia"/>
          <w:sz w:val="22"/>
          <w:szCs w:val="22"/>
        </w:rPr>
        <w:t xml:space="preserve">, M., et al. (2024) </w:t>
      </w:r>
      <w:r w:rsidRPr="2F4126B1" w:rsidR="4FE77DE8">
        <w:rPr>
          <w:rFonts w:eastAsia="" w:eastAsiaTheme="minorEastAsia"/>
          <w:sz w:val="22"/>
          <w:szCs w:val="22"/>
        </w:rPr>
        <w:t>pekte</w:t>
      </w:r>
      <w:r w:rsidRPr="2F4126B1" w:rsidR="4FE77DE8">
        <w:rPr>
          <w:sz w:val="22"/>
          <w:szCs w:val="22"/>
        </w:rPr>
        <w:t xml:space="preserve"> på at sykehusplanlegging må forutse fremtidige utfordringer og teknologiutvikling, og at</w:t>
      </w:r>
      <w:r w:rsidRPr="2F4126B1" w:rsidR="4FE77DE8">
        <w:rPr>
          <w:sz w:val="22"/>
          <w:szCs w:val="22"/>
        </w:rPr>
        <w:t xml:space="preserve"> </w:t>
      </w:r>
      <w:r w:rsidRPr="2F4126B1" w:rsidR="264D57CE">
        <w:rPr>
          <w:rFonts w:ascii="Segoe UI" w:hAnsi="Segoe UI" w:eastAsia="Segoe UI" w:cs="Segoe UI"/>
          <w:b w:val="0"/>
          <w:bCs w:val="0"/>
          <w:i w:val="0"/>
          <w:iCs w:val="0"/>
          <w:caps w:val="0"/>
          <w:smallCaps w:val="0"/>
          <w:noProof w:val="0"/>
          <w:color w:val="242424"/>
          <w:sz w:val="21"/>
          <w:szCs w:val="21"/>
          <w:lang w:val="nb-NO"/>
        </w:rPr>
        <w:t>lite fleksibel bygningsmasse</w:t>
      </w:r>
      <w:r w:rsidRPr="2F4126B1" w:rsidR="4FE77DE8">
        <w:rPr>
          <w:sz w:val="22"/>
          <w:szCs w:val="22"/>
        </w:rPr>
        <w:t xml:space="preserve"> hindrer organisatorisk </w:t>
      </w:r>
      <w:r w:rsidRPr="2F4126B1" w:rsidR="4FE77DE8">
        <w:rPr>
          <w:sz w:val="22"/>
          <w:szCs w:val="22"/>
        </w:rPr>
        <w:t>adaptivitet</w:t>
      </w:r>
      <w:r w:rsidRPr="2F4126B1" w:rsidR="4FE77DE8">
        <w:rPr>
          <w:sz w:val="22"/>
          <w:szCs w:val="22"/>
        </w:rPr>
        <w:t>. Erfaringene fra COVID-19-pandemien forsterket dette budskapet; sykehus med fleksible arealer var bedre rustet til raskt å tilpasse seg uforutsette behov</w:t>
      </w:r>
      <w:r w:rsidRPr="2F4126B1" w:rsidR="532C6D95">
        <w:rPr>
          <w:sz w:val="22"/>
          <w:szCs w:val="22"/>
        </w:rPr>
        <w:t>.</w:t>
      </w:r>
    </w:p>
    <w:p w:rsidRPr="00BE11C6" w:rsidR="00FC4F58" w:rsidP="0077002F" w:rsidRDefault="00FC4F58" w14:paraId="1A48FAF4" w14:textId="28198D72">
      <w:pPr>
        <w:spacing w:line="276" w:lineRule="auto"/>
        <w:ind w:firstLine="709"/>
        <w:jc w:val="both"/>
        <w:rPr>
          <w:color w:val="000000" w:themeColor="text1"/>
          <w:sz w:val="22"/>
          <w:szCs w:val="20"/>
        </w:rPr>
      </w:pPr>
      <w:r w:rsidRPr="00BE11C6">
        <w:rPr>
          <w:color w:val="000000" w:themeColor="text1"/>
          <w:sz w:val="22"/>
          <w:szCs w:val="20"/>
        </w:rPr>
        <w:t xml:space="preserve">Litteraturgjennomgangen viser at det finnes </w:t>
      </w:r>
      <w:r w:rsidRPr="00BE11C6" w:rsidR="00CA31A0">
        <w:rPr>
          <w:color w:val="000000" w:themeColor="text1"/>
          <w:sz w:val="22"/>
          <w:szCs w:val="20"/>
        </w:rPr>
        <w:t>et</w:t>
      </w:r>
      <w:r w:rsidRPr="00BE11C6">
        <w:rPr>
          <w:color w:val="000000" w:themeColor="text1"/>
          <w:sz w:val="22"/>
          <w:szCs w:val="20"/>
        </w:rPr>
        <w:t xml:space="preserve"> empirisk grunnlag for at både bygningsutforming og teknologi påvirker personaleffektiviteten i sykehus. De sterkeste bevisene finnes for konkrete, målbare utfall som gangdistanse og dokumentasjonstid. Mer komplekse sammenhenger – som effekten av totaldesign på personalets velvære, ressursutnyttelse og langsiktig rekruttering og </w:t>
      </w:r>
      <w:r w:rsidRPr="00BE11C6" w:rsidR="001C0CD6">
        <w:rPr>
          <w:color w:val="000000" w:themeColor="text1"/>
          <w:sz w:val="22"/>
          <w:szCs w:val="20"/>
        </w:rPr>
        <w:t xml:space="preserve">det </w:t>
      </w:r>
      <w:r w:rsidRPr="00BE11C6" w:rsidR="0077002F">
        <w:rPr>
          <w:color w:val="000000" w:themeColor="text1"/>
          <w:sz w:val="22"/>
          <w:szCs w:val="20"/>
        </w:rPr>
        <w:t>å beholde ansatte</w:t>
      </w:r>
      <w:r w:rsidRPr="00BE11C6">
        <w:rPr>
          <w:color w:val="000000" w:themeColor="text1"/>
          <w:sz w:val="22"/>
          <w:szCs w:val="20"/>
        </w:rPr>
        <w:t xml:space="preserve"> – er vanskeligere å dokumentere og mangler longitudinelle data.</w:t>
      </w:r>
    </w:p>
    <w:p w:rsidRPr="00BE11C6" w:rsidR="00FC4F58" w:rsidP="0077002F" w:rsidRDefault="00FC4F58" w14:paraId="7CD01849" w14:textId="15F68FBE">
      <w:pPr>
        <w:spacing w:line="276" w:lineRule="auto"/>
        <w:ind w:firstLine="709"/>
        <w:jc w:val="both"/>
        <w:rPr>
          <w:color w:val="000000" w:themeColor="text1"/>
          <w:sz w:val="22"/>
          <w:szCs w:val="20"/>
        </w:rPr>
      </w:pPr>
      <w:r w:rsidRPr="00BE11C6">
        <w:rPr>
          <w:color w:val="000000" w:themeColor="text1"/>
          <w:sz w:val="22"/>
          <w:szCs w:val="20"/>
        </w:rPr>
        <w:t xml:space="preserve">En gjennomgående metodologisk utfordring er mangelen på randomiserte kontrollerte studier og standardiserte effektmål. De fleste studier er observasjonsstudier, casestudier eller kvasieksperimentelle pre-post-studier med </w:t>
      </w:r>
      <w:r w:rsidRPr="00BE11C6">
        <w:rPr>
          <w:color w:val="000000" w:themeColor="text1"/>
          <w:sz w:val="22"/>
        </w:rPr>
        <w:t xml:space="preserve">begrenset ekstern validitet. </w:t>
      </w:r>
      <w:r w:rsidRPr="00BE11C6" w:rsidR="00256C52">
        <w:rPr>
          <w:color w:val="000000" w:themeColor="text1"/>
          <w:sz w:val="22"/>
        </w:rPr>
        <w:t>Elf, M., et al. (2024)</w:t>
      </w:r>
      <w:r w:rsidRPr="00BE11C6" w:rsidR="00256C52">
        <w:rPr>
          <w:color w:val="000000" w:themeColor="text1"/>
        </w:rPr>
        <w:t xml:space="preserve"> </w:t>
      </w:r>
      <w:r w:rsidRPr="00BE11C6">
        <w:rPr>
          <w:color w:val="000000" w:themeColor="text1"/>
          <w:sz w:val="22"/>
          <w:szCs w:val="20"/>
        </w:rPr>
        <w:t>bekrefter dette og etterlyser studier som kombinerer kvantitative effektmål med kvalitative prosessdata. En ytterligere utfordring er at bygg- og teknologiintervensjoner sjelden evalueres isolert, noe som gjør det vanskelig å attribuere observerte effekter til enkeltfaktorer.</w:t>
      </w:r>
    </w:p>
    <w:p w:rsidRPr="0034175B" w:rsidR="00FC4F58" w:rsidP="2F4126B1" w:rsidRDefault="00FC4F58" w14:paraId="5640AAD2" w14:textId="4CE96813">
      <w:pPr>
        <w:pStyle w:val="Normal"/>
        <w:spacing w:line="276" w:lineRule="auto"/>
        <w:ind w:firstLine="709"/>
        <w:jc w:val="both"/>
        <w:rPr>
          <w:color w:val="000000" w:themeColor="text1"/>
          <w:sz w:val="22"/>
          <w:szCs w:val="22"/>
        </w:rPr>
      </w:pPr>
      <w:r w:rsidRPr="2F4126B1" w:rsidR="02172A74">
        <w:rPr>
          <w:color w:val="000000" w:themeColor="text1" w:themeTint="FF" w:themeShade="FF"/>
          <w:sz w:val="22"/>
          <w:szCs w:val="22"/>
        </w:rPr>
        <w:t xml:space="preserve">Et sentralt funn er at effekten av bygning og teknologi ikke kan isoleres fra organisatoriske og kulturelle faktorer. </w:t>
      </w:r>
      <w:r w:rsidRPr="2F4126B1" w:rsidR="28D6FE77">
        <w:rPr>
          <w:rFonts w:ascii="Segoe UI" w:hAnsi="Segoe UI" w:eastAsia="Segoe UI" w:cs="Segoe UI"/>
          <w:b w:val="0"/>
          <w:bCs w:val="0"/>
          <w:i w:val="0"/>
          <w:iCs w:val="0"/>
          <w:caps w:val="0"/>
          <w:smallCaps w:val="0"/>
          <w:noProof w:val="0"/>
          <w:color w:val="242424"/>
          <w:sz w:val="21"/>
          <w:szCs w:val="21"/>
          <w:lang w:val="nb-NO"/>
        </w:rPr>
        <w:t>Litteraturen om elektronisk pasientjournal</w:t>
      </w:r>
      <w:r w:rsidRPr="2F4126B1" w:rsidR="02172A74">
        <w:rPr>
          <w:color w:val="000000" w:themeColor="text1" w:themeTint="FF" w:themeShade="FF"/>
          <w:sz w:val="22"/>
          <w:szCs w:val="22"/>
        </w:rPr>
        <w:t xml:space="preserve"> </w:t>
      </w:r>
      <w:r w:rsidRPr="2F4126B1" w:rsidR="033052CD">
        <w:rPr>
          <w:color w:val="000000" w:themeColor="text1" w:themeTint="FF" w:themeShade="FF"/>
          <w:sz w:val="22"/>
          <w:szCs w:val="22"/>
        </w:rPr>
        <w:t xml:space="preserve">viser </w:t>
      </w:r>
      <w:r w:rsidRPr="2F4126B1" w:rsidR="02172A74">
        <w:rPr>
          <w:color w:val="000000" w:themeColor="text1" w:themeTint="FF" w:themeShade="FF"/>
          <w:sz w:val="22"/>
          <w:szCs w:val="22"/>
        </w:rPr>
        <w:t>at teknologi</w:t>
      </w:r>
      <w:r w:rsidRPr="2F4126B1" w:rsidR="02172A74">
        <w:rPr>
          <w:color w:val="000000" w:themeColor="text1" w:themeTint="FF" w:themeShade="FF"/>
          <w:sz w:val="22"/>
          <w:szCs w:val="22"/>
        </w:rPr>
        <w:t xml:space="preserve"> </w:t>
      </w:r>
      <w:r w:rsidRPr="2F4126B1" w:rsidR="02172A74">
        <w:rPr>
          <w:color w:val="000000" w:themeColor="text1" w:themeTint="FF" w:themeShade="FF"/>
          <w:sz w:val="22"/>
          <w:szCs w:val="22"/>
        </w:rPr>
        <w:t>implementert</w:t>
      </w:r>
      <w:r w:rsidRPr="2F4126B1" w:rsidR="02172A74">
        <w:rPr>
          <w:color w:val="000000" w:themeColor="text1" w:themeTint="FF" w:themeShade="FF"/>
          <w:sz w:val="22"/>
          <w:szCs w:val="22"/>
        </w:rPr>
        <w:t xml:space="preserve"> uten tilstrekkelig opplæring og prosessredesign kan gi økt administrativ byrde fremfor effektivitetsgevinster </w:t>
      </w:r>
      <w:r w:rsidRPr="2F4126B1" w:rsidR="5D78BE6B">
        <w:rPr>
          <w:color w:val="000000" w:themeColor="text1" w:themeTint="FF" w:themeShade="FF"/>
          <w:sz w:val="22"/>
          <w:szCs w:val="22"/>
        </w:rPr>
        <w:t>(</w:t>
      </w:r>
      <w:r w:rsidRPr="2F4126B1" w:rsidR="074CED9F">
        <w:rPr>
          <w:color w:val="000000" w:themeColor="text1" w:themeTint="FF" w:themeShade="FF"/>
          <w:sz w:val="22"/>
          <w:szCs w:val="22"/>
        </w:rPr>
        <w:t>Forde</w:t>
      </w:r>
      <w:r w:rsidRPr="2F4126B1" w:rsidR="074CED9F">
        <w:rPr>
          <w:color w:val="000000" w:themeColor="text1" w:themeTint="FF" w:themeShade="FF"/>
          <w:sz w:val="22"/>
          <w:szCs w:val="22"/>
        </w:rPr>
        <w:t>-Johnston, C., et al. (2023)</w:t>
      </w:r>
      <w:r w:rsidRPr="2F4126B1" w:rsidR="02172A74">
        <w:rPr>
          <w:color w:val="000000" w:themeColor="text1" w:themeTint="FF" w:themeShade="FF"/>
          <w:sz w:val="22"/>
          <w:szCs w:val="22"/>
        </w:rPr>
        <w:t xml:space="preserve">; </w:t>
      </w:r>
      <w:r w:rsidRPr="2F4126B1" w:rsidR="5D78BE6B">
        <w:rPr>
          <w:color w:val="000000" w:themeColor="text1" w:themeTint="FF" w:themeShade="FF"/>
          <w:sz w:val="22"/>
          <w:szCs w:val="22"/>
        </w:rPr>
        <w:t>Moore, E. C., et al. (2020)).</w:t>
      </w:r>
    </w:p>
    <w:p w:rsidRPr="0034175B" w:rsidR="00FC4F58" w:rsidP="000E24EA" w:rsidRDefault="00FC4F58" w14:paraId="09E60F56" w14:textId="77777777">
      <w:pPr>
        <w:spacing w:line="276" w:lineRule="auto"/>
        <w:ind w:firstLine="709"/>
        <w:jc w:val="both"/>
        <w:rPr>
          <w:color w:val="000000" w:themeColor="text1"/>
          <w:sz w:val="22"/>
          <w:szCs w:val="20"/>
        </w:rPr>
      </w:pPr>
      <w:r w:rsidRPr="0034175B">
        <w:rPr>
          <w:color w:val="000000" w:themeColor="text1"/>
          <w:sz w:val="22"/>
          <w:szCs w:val="20"/>
        </w:rPr>
        <w:t>Integrasjon mellom bygg og teknologi er et tema forskningen bare er i startgropen av å utforske systematisk. Digitale tvillinger og BIM-verktøy representerer lovende plattformer for å koble fysisk design til driftsoptimalisering, men empirisk dokumentasjon av realiserte personalgevinster er fortsatt begrenset. Standardisering av søketermer og effektmål på tvers av de fem søkedomenene i dette kapittelet vil være et viktig skritt mot en mer kumulativ kunnskapsutvikling på feltet.</w:t>
      </w:r>
    </w:p>
    <w:p w:rsidRPr="0034175B" w:rsidR="00D01D10" w:rsidP="007044C0" w:rsidRDefault="00D01D10" w14:paraId="52555E03" w14:textId="77777777">
      <w:pPr>
        <w:spacing w:line="276" w:lineRule="auto"/>
        <w:rPr>
          <w:color w:val="000000" w:themeColor="text1"/>
          <w:sz w:val="20"/>
          <w:szCs w:val="20"/>
        </w:rPr>
      </w:pPr>
    </w:p>
    <w:p w:rsidRPr="0034175B" w:rsidR="00BC5281" w:rsidP="2F4126B1" w:rsidRDefault="00BC5281" w14:paraId="4FEE5E35" w14:textId="57FE66D1">
      <w:pPr>
        <w:pStyle w:val="Normal"/>
        <w:suppressLineNumbers w:val="0"/>
        <w:bidi w:val="0"/>
        <w:spacing w:before="0" w:beforeAutospacing="off" w:after="120" w:afterAutospacing="off" w:line="272" w:lineRule="auto"/>
        <w:ind w:left="140" w:right="0"/>
        <w:jc w:val="left"/>
        <w:rPr>
          <w:b w:val="0"/>
          <w:bCs w:val="0"/>
          <w:i w:val="1"/>
          <w:iCs w:val="1"/>
          <w:color w:val="000000" w:themeColor="text1" w:themeTint="FF" w:themeShade="FF"/>
          <w:sz w:val="22"/>
          <w:szCs w:val="22"/>
        </w:rPr>
      </w:pPr>
      <w:r w:rsidRPr="2F4126B1" w:rsidR="6575548C">
        <w:rPr>
          <w:b w:val="0"/>
          <w:bCs w:val="0"/>
          <w:i w:val="1"/>
          <w:iCs w:val="1"/>
          <w:color w:val="000000" w:themeColor="text1" w:themeTint="FF" w:themeShade="FF"/>
          <w:sz w:val="22"/>
          <w:szCs w:val="22"/>
        </w:rPr>
        <w:t>Sykehusbygg anbefaler at det g</w:t>
      </w:r>
      <w:r w:rsidRPr="2F4126B1" w:rsidR="790004AD">
        <w:rPr>
          <w:b w:val="0"/>
          <w:bCs w:val="0"/>
          <w:i w:val="1"/>
          <w:iCs w:val="1"/>
          <w:color w:val="000000" w:themeColor="text1" w:themeTint="FF" w:themeShade="FF"/>
          <w:sz w:val="22"/>
          <w:szCs w:val="22"/>
        </w:rPr>
        <w:t>jennomfør</w:t>
      </w:r>
      <w:r w:rsidRPr="2F4126B1" w:rsidR="52908DB8">
        <w:rPr>
          <w:b w:val="0"/>
          <w:bCs w:val="0"/>
          <w:i w:val="1"/>
          <w:iCs w:val="1"/>
          <w:color w:val="000000" w:themeColor="text1" w:themeTint="FF" w:themeShade="FF"/>
          <w:sz w:val="22"/>
          <w:szCs w:val="22"/>
        </w:rPr>
        <w:t>es</w:t>
      </w:r>
      <w:r w:rsidRPr="2F4126B1" w:rsidR="790004AD">
        <w:rPr>
          <w:b w:val="0"/>
          <w:bCs w:val="0"/>
          <w:i w:val="1"/>
          <w:iCs w:val="1"/>
          <w:color w:val="000000" w:themeColor="text1" w:themeTint="FF" w:themeShade="FF"/>
          <w:sz w:val="22"/>
          <w:szCs w:val="22"/>
        </w:rPr>
        <w:t xml:space="preserve"> norske primærstudier som kobler </w:t>
      </w:r>
      <w:r w:rsidRPr="2F4126B1" w:rsidR="790004AD">
        <w:rPr>
          <w:b w:val="0"/>
          <w:bCs w:val="0"/>
          <w:i w:val="1"/>
          <w:iCs w:val="1"/>
          <w:color w:val="000000" w:themeColor="text1" w:themeTint="FF" w:themeShade="FF"/>
          <w:sz w:val="22"/>
          <w:szCs w:val="22"/>
        </w:rPr>
        <w:t>byggdesign</w:t>
      </w:r>
      <w:r w:rsidRPr="2F4126B1" w:rsidR="790004AD">
        <w:rPr>
          <w:b w:val="0"/>
          <w:bCs w:val="0"/>
          <w:i w:val="1"/>
          <w:iCs w:val="1"/>
          <w:color w:val="000000" w:themeColor="text1" w:themeTint="FF" w:themeShade="FF"/>
          <w:sz w:val="22"/>
          <w:szCs w:val="22"/>
        </w:rPr>
        <w:t xml:space="preserve"> til målbar personellbruk og pasientutfall, for å lukke et tydelig </w:t>
      </w:r>
      <w:r w:rsidRPr="2F4126B1" w:rsidR="790004AD">
        <w:rPr>
          <w:b w:val="0"/>
          <w:bCs w:val="0"/>
          <w:i w:val="1"/>
          <w:iCs w:val="1"/>
          <w:color w:val="000000" w:themeColor="text1" w:themeTint="FF" w:themeShade="FF"/>
          <w:sz w:val="22"/>
          <w:szCs w:val="22"/>
        </w:rPr>
        <w:t>kunnskapsgap</w:t>
      </w:r>
      <w:r w:rsidRPr="2F4126B1" w:rsidR="790004AD">
        <w:rPr>
          <w:b w:val="0"/>
          <w:bCs w:val="0"/>
          <w:i w:val="1"/>
          <w:iCs w:val="1"/>
          <w:color w:val="000000" w:themeColor="text1" w:themeTint="FF" w:themeShade="FF"/>
          <w:sz w:val="22"/>
          <w:szCs w:val="22"/>
        </w:rPr>
        <w:t>.</w:t>
      </w:r>
    </w:p>
    <w:p w:rsidRPr="00FE1FE6" w:rsidR="00FE1FE6" w:rsidP="00FE1FE6" w:rsidRDefault="00FE1FE6" w14:paraId="4E1A386A" w14:textId="77777777"/>
    <w:p w:rsidRPr="00253877" w:rsidR="002E4DC6" w:rsidP="002E4DC6" w:rsidRDefault="00AC11F6" w14:paraId="201EE874" w14:textId="085816C3">
      <w:pPr>
        <w:rPr>
          <w:rFonts w:asciiTheme="majorHAnsi" w:hAnsiTheme="majorHAnsi" w:eastAsiaTheme="majorEastAsia" w:cstheme="majorBidi"/>
          <w:color w:val="002669" w:themeColor="accent1" w:themeShade="BF"/>
          <w:sz w:val="32"/>
          <w:szCs w:val="32"/>
          <w:lang w:val="en-US"/>
        </w:rPr>
      </w:pPr>
      <w:r w:rsidRPr="00253877">
        <w:rPr>
          <w:rFonts w:asciiTheme="majorHAnsi" w:hAnsiTheme="majorHAnsi" w:eastAsiaTheme="majorEastAsia" w:cstheme="majorBidi"/>
          <w:color w:val="002669" w:themeColor="accent1" w:themeShade="BF"/>
          <w:sz w:val="32"/>
          <w:szCs w:val="32"/>
          <w:lang w:val="en-US"/>
        </w:rPr>
        <w:t>Kilder:</w:t>
      </w:r>
    </w:p>
    <w:p w:rsidRPr="00326081" w:rsidR="00A4498B" w:rsidP="00326081" w:rsidRDefault="00A4498B" w14:paraId="6464A7C3" w14:textId="77777777">
      <w:pPr>
        <w:pStyle w:val="Subtitle"/>
        <w:rPr>
          <w:sz w:val="20"/>
          <w:szCs w:val="20"/>
          <w:lang w:val="en-US"/>
        </w:rPr>
      </w:pPr>
      <w:r w:rsidRPr="00326081">
        <w:rPr>
          <w:sz w:val="20"/>
          <w:szCs w:val="20"/>
          <w:lang w:val="en-US"/>
        </w:rPr>
        <w:t>World Health Organization [WHO]. (2020). Global strategy on human resources for health: Workforce 2030. WHO Press.</w:t>
      </w:r>
    </w:p>
    <w:p w:rsidRPr="00253877" w:rsidR="00071CE4" w:rsidP="00326081" w:rsidRDefault="00071CE4" w14:paraId="2C94C4B3" w14:textId="77777777">
      <w:pPr>
        <w:pStyle w:val="Subtitle"/>
        <w:rPr>
          <w:sz w:val="20"/>
          <w:szCs w:val="20"/>
        </w:rPr>
      </w:pPr>
      <w:r w:rsidRPr="00326081">
        <w:rPr>
          <w:sz w:val="20"/>
          <w:szCs w:val="20"/>
          <w:lang w:val="en-US"/>
        </w:rPr>
        <w:t xml:space="preserve">Hendrich, A., Chow, M. P., Skierczynski, B. A., &amp; Lu, Z. (2008). A 36-hospital time and motion study: How do medical-surgical nurses spend their time? </w:t>
      </w:r>
      <w:r w:rsidRPr="00253877">
        <w:rPr>
          <w:sz w:val="20"/>
          <w:szCs w:val="20"/>
        </w:rPr>
        <w:t>The Permanente Journal, 12(3), 25–34. https://doi.org/10.7812/tpp/08-021</w:t>
      </w:r>
    </w:p>
    <w:p w:rsidRPr="00326081" w:rsidR="00C274B8" w:rsidP="00326081" w:rsidRDefault="00C274B8" w14:paraId="430BC329" w14:textId="77777777">
      <w:pPr>
        <w:pStyle w:val="Subtitle"/>
        <w:rPr>
          <w:sz w:val="20"/>
          <w:szCs w:val="20"/>
          <w:lang w:val="en-US"/>
        </w:rPr>
      </w:pPr>
      <w:r w:rsidRPr="00253877">
        <w:rPr>
          <w:sz w:val="20"/>
          <w:szCs w:val="20"/>
        </w:rPr>
        <w:t xml:space="preserve">Deng, Q., et al. </w:t>
      </w:r>
      <w:r w:rsidRPr="00326081">
        <w:rPr>
          <w:sz w:val="20"/>
          <w:szCs w:val="20"/>
          <w:lang w:val="en-US"/>
        </w:rPr>
        <w:t>(2023). "A Study on the Layout of Hospital Ward Buildings in Cold Regions of China Based on the Efficiency of Nurse Rounds." Buildings 13: 1399.</w:t>
      </w:r>
    </w:p>
    <w:p w:rsidRPr="00326081" w:rsidR="00C274B8" w:rsidP="00326081" w:rsidRDefault="00E86654" w14:paraId="354AD1FD" w14:textId="11BF0DC2">
      <w:pPr>
        <w:pStyle w:val="Subtitle"/>
        <w:rPr>
          <w:sz w:val="20"/>
          <w:szCs w:val="20"/>
          <w:lang w:val="en-US"/>
        </w:rPr>
      </w:pPr>
      <w:r w:rsidRPr="00326081">
        <w:rPr>
          <w:sz w:val="20"/>
          <w:szCs w:val="20"/>
          <w:lang w:val="en-US"/>
        </w:rPr>
        <w:t xml:space="preserve">White paper series 4of Maximizing The Impact of Nursing Care Quality: 5 A Closer Look at the Hospital Work Environment and the Nurse’s Impact on Patient-Care Quality </w:t>
      </w:r>
      <w:hyperlink w:history="1" r:id="rId14">
        <w:r w:rsidRPr="00326081" w:rsidR="000D499B">
          <w:rPr>
            <w:sz w:val="20"/>
            <w:szCs w:val="20"/>
            <w:lang w:val="en-US"/>
          </w:rPr>
          <w:t>Maximizing the Impact of Nursing Care Quality</w:t>
        </w:r>
      </w:hyperlink>
    </w:p>
    <w:p w:rsidRPr="00253877" w:rsidR="009E790D" w:rsidP="00326081" w:rsidRDefault="009E790D" w14:paraId="25AAF2A2" w14:textId="77777777">
      <w:pPr>
        <w:pStyle w:val="Subtitle"/>
        <w:rPr>
          <w:sz w:val="20"/>
          <w:szCs w:val="20"/>
        </w:rPr>
      </w:pPr>
      <w:r w:rsidRPr="00326081">
        <w:rPr>
          <w:sz w:val="20"/>
          <w:szCs w:val="20"/>
          <w:lang w:val="en-US"/>
        </w:rPr>
        <w:t xml:space="preserve">Knoll, Inc. (2010). Evidence-based design recommendations for nursing stations [White paper]. </w:t>
      </w:r>
      <w:r w:rsidRPr="00253877">
        <w:rPr>
          <w:sz w:val="20"/>
          <w:szCs w:val="20"/>
        </w:rPr>
        <w:t>Hentet fra https://www.knoll.com/media/181/166/DesignRecsForNursingStations.pdf</w:t>
      </w:r>
    </w:p>
    <w:p w:rsidRPr="00326081" w:rsidR="001738BA" w:rsidP="00326081" w:rsidRDefault="001738BA" w14:paraId="6A2DF8AD" w14:textId="088D05D2">
      <w:pPr>
        <w:pStyle w:val="Subtitle"/>
        <w:rPr>
          <w:sz w:val="20"/>
          <w:szCs w:val="20"/>
          <w:lang w:val="en-US"/>
        </w:rPr>
      </w:pPr>
      <w:r w:rsidRPr="00253877">
        <w:rPr>
          <w:sz w:val="20"/>
          <w:szCs w:val="20"/>
        </w:rPr>
        <w:t xml:space="preserve">Chaudhury, H., Mahmood, A., &amp; Valente, M. (2009). </w:t>
      </w:r>
      <w:r w:rsidRPr="00326081">
        <w:rPr>
          <w:sz w:val="20"/>
          <w:szCs w:val="20"/>
          <w:lang w:val="en-US"/>
        </w:rPr>
        <w:t>The effect of environmental design on reducing nursing errors and increasing efficiency in acute care settings: A review and analysis of the literature. Environment and Behavior, 41(6), 755–786. https://doi.org/10.1177/0013916508330392</w:t>
      </w:r>
    </w:p>
    <w:p w:rsidRPr="00326081" w:rsidR="000D499B" w:rsidP="00326081" w:rsidRDefault="00477F20" w14:paraId="260B1528" w14:textId="49791490">
      <w:pPr>
        <w:pStyle w:val="Subtitle"/>
        <w:rPr>
          <w:sz w:val="20"/>
          <w:szCs w:val="20"/>
          <w:lang w:val="en-US"/>
        </w:rPr>
      </w:pPr>
      <w:r w:rsidRPr="00326081">
        <w:rPr>
          <w:sz w:val="20"/>
          <w:szCs w:val="20"/>
          <w:lang w:val="en-US"/>
        </w:rPr>
        <w:t>Gharaveis, A., Hamilton, K. D., Pati, D.</w:t>
      </w:r>
      <w:r w:rsidRPr="00326081" w:rsidR="005D5106">
        <w:rPr>
          <w:sz w:val="20"/>
          <w:szCs w:val="20"/>
          <w:lang w:val="en-US"/>
        </w:rPr>
        <w:t xml:space="preserve"> &amp;</w:t>
      </w:r>
      <w:r w:rsidRPr="00326081">
        <w:rPr>
          <w:sz w:val="20"/>
          <w:szCs w:val="20"/>
          <w:lang w:val="en-US"/>
        </w:rPr>
        <w:t xml:space="preserve"> </w:t>
      </w:r>
      <w:r w:rsidRPr="00326081" w:rsidR="00632265">
        <w:rPr>
          <w:sz w:val="20"/>
          <w:szCs w:val="20"/>
          <w:lang w:val="en-US"/>
        </w:rPr>
        <w:t xml:space="preserve">Shepley, M. </w:t>
      </w:r>
      <w:r w:rsidRPr="00326081">
        <w:rPr>
          <w:sz w:val="20"/>
          <w:szCs w:val="20"/>
          <w:lang w:val="en-US"/>
        </w:rPr>
        <w:t>(2018). The impact of visibility on teamwork, collaborative communication, and security in emergency departments. HERD: Health Environments Research and Design Journal, 11(3), 37–49</w:t>
      </w:r>
    </w:p>
    <w:p w:rsidRPr="00326081" w:rsidR="00071CE4" w:rsidP="00326081" w:rsidRDefault="00087903" w14:paraId="3D6E3A64" w14:textId="7788BB5E">
      <w:pPr>
        <w:pStyle w:val="Subtitle"/>
        <w:rPr>
          <w:sz w:val="20"/>
          <w:szCs w:val="20"/>
          <w:lang w:val="en-US"/>
        </w:rPr>
      </w:pPr>
      <w:r w:rsidRPr="00326081">
        <w:rPr>
          <w:sz w:val="20"/>
          <w:szCs w:val="20"/>
          <w:lang w:val="en-US"/>
        </w:rPr>
        <w:t>Chaudhury, H., Mahmood, A., &amp; Valente, M. (2006). Nurses' perception of single-occupancy versus multioccupancy rooms in acute care environments: An exploratory comparative assessment. HERD: Health Environments Research and Design Journal</w:t>
      </w:r>
    </w:p>
    <w:p w:rsidRPr="00326081" w:rsidR="00F54722" w:rsidP="00326081" w:rsidRDefault="00F54722" w14:paraId="156AA6A1" w14:textId="77777777">
      <w:pPr>
        <w:pStyle w:val="Subtitle"/>
        <w:rPr>
          <w:sz w:val="20"/>
          <w:szCs w:val="20"/>
          <w:lang w:val="en-US"/>
        </w:rPr>
      </w:pPr>
      <w:r w:rsidRPr="00326081">
        <w:rPr>
          <w:sz w:val="20"/>
          <w:szCs w:val="20"/>
          <w:lang w:val="en-US"/>
        </w:rPr>
        <w:t>NHS Health Technology Group Scotland [SHTG]. (2016). Single room only wards [Evidence note 63]. NHS Healthcare Improvement Scotland. Hentet fra https://shtg.scot/media/1894/single-room-only-wards-shtg-ev-note-63-16.pdf</w:t>
      </w:r>
    </w:p>
    <w:p w:rsidRPr="00253877" w:rsidR="00A03A20" w:rsidP="00326081" w:rsidRDefault="00A03A20" w14:paraId="44E88DDA" w14:textId="4C08C6F1">
      <w:pPr>
        <w:pStyle w:val="Subtitle"/>
        <w:rPr>
          <w:sz w:val="20"/>
          <w:szCs w:val="20"/>
        </w:rPr>
      </w:pPr>
      <w:r w:rsidRPr="00326081">
        <w:rPr>
          <w:sz w:val="20"/>
          <w:szCs w:val="20"/>
          <w:lang w:val="en-US"/>
        </w:rPr>
        <w:t xml:space="preserve">Regioner.dk. (2004). The use of single patient rooms versus multiple bedrooms [Report]. </w:t>
      </w:r>
      <w:r w:rsidRPr="00253877">
        <w:rPr>
          <w:sz w:val="20"/>
          <w:szCs w:val="20"/>
        </w:rPr>
        <w:t>Danish Regions. Hentet fra https://www.regioner.dk/media/7613/the-use-of-single-patient-rooms-v-multiple.pdf</w:t>
      </w:r>
    </w:p>
    <w:p w:rsidRPr="00326081" w:rsidR="00AA2D1D" w:rsidP="00326081" w:rsidRDefault="00AA2D1D" w14:paraId="4C7F6CBA" w14:textId="77777777">
      <w:pPr>
        <w:pStyle w:val="Subtitle"/>
        <w:rPr>
          <w:sz w:val="20"/>
          <w:szCs w:val="20"/>
          <w:lang w:val="en-US"/>
        </w:rPr>
      </w:pPr>
      <w:r w:rsidRPr="00326081">
        <w:rPr>
          <w:sz w:val="20"/>
          <w:szCs w:val="20"/>
          <w:lang w:val="en-US"/>
        </w:rPr>
        <w:t>Academia.edu. (2024). Optimizing hospital layouts for enhanced staff efficiency and patient care: The role of core service centralization. Hentet fra https://www.academia.edu/145270162</w:t>
      </w:r>
    </w:p>
    <w:p w:rsidRPr="00253877" w:rsidR="00CD46A4" w:rsidP="00326081" w:rsidRDefault="00F77938" w14:paraId="172EE498" w14:textId="182D4D95">
      <w:pPr>
        <w:pStyle w:val="Subtitle"/>
        <w:rPr>
          <w:sz w:val="20"/>
          <w:szCs w:val="20"/>
          <w:lang w:val="en-US"/>
        </w:rPr>
      </w:pPr>
      <w:r w:rsidRPr="00326081">
        <w:rPr>
          <w:sz w:val="20"/>
          <w:szCs w:val="20"/>
          <w:lang w:val="en-US"/>
        </w:rPr>
        <w:t xml:space="preserve">Kamel Boulos, M. N. and G. Berry (2012). "Real-time locating systems (RTLS) in healthcare: a condensed primer." </w:t>
      </w:r>
      <w:r w:rsidRPr="00253877">
        <w:rPr>
          <w:sz w:val="20"/>
          <w:szCs w:val="20"/>
          <w:u w:val="single"/>
          <w:lang w:val="en-US"/>
        </w:rPr>
        <w:t>Int J Health Geogr</w:t>
      </w:r>
      <w:r w:rsidRPr="00253877">
        <w:rPr>
          <w:sz w:val="20"/>
          <w:szCs w:val="20"/>
          <w:lang w:val="en-US"/>
        </w:rPr>
        <w:t xml:space="preserve"> </w:t>
      </w:r>
      <w:r w:rsidRPr="00253877">
        <w:rPr>
          <w:b/>
          <w:bCs/>
          <w:sz w:val="20"/>
          <w:szCs w:val="20"/>
          <w:lang w:val="en-US"/>
        </w:rPr>
        <w:t>11</w:t>
      </w:r>
      <w:r w:rsidRPr="00253877">
        <w:rPr>
          <w:sz w:val="20"/>
          <w:szCs w:val="20"/>
          <w:lang w:val="en-US"/>
        </w:rPr>
        <w:t>: 25.</w:t>
      </w:r>
    </w:p>
    <w:p w:rsidRPr="00253877" w:rsidR="00186C91" w:rsidP="00326081" w:rsidRDefault="00186C91" w14:paraId="411DB304" w14:textId="77777777">
      <w:pPr>
        <w:pStyle w:val="Subtitle"/>
        <w:rPr>
          <w:sz w:val="20"/>
          <w:szCs w:val="20"/>
          <w:lang w:val="en-US"/>
        </w:rPr>
      </w:pPr>
      <w:r w:rsidRPr="00253877">
        <w:rPr>
          <w:sz w:val="20"/>
          <w:szCs w:val="20"/>
          <w:lang w:val="en-US"/>
        </w:rPr>
        <w:t xml:space="preserve">Overmann, K. M., et al. </w:t>
      </w:r>
      <w:r w:rsidRPr="00326081">
        <w:rPr>
          <w:sz w:val="20"/>
          <w:szCs w:val="20"/>
          <w:lang w:val="en-US"/>
        </w:rPr>
        <w:t xml:space="preserve">(2021). "Real-time locating systems to improve healthcare delivery: A systematic review." </w:t>
      </w:r>
      <w:r w:rsidRPr="00253877">
        <w:rPr>
          <w:sz w:val="20"/>
          <w:szCs w:val="20"/>
          <w:u w:val="single"/>
          <w:lang w:val="en-US"/>
        </w:rPr>
        <w:t>J Am Med Inform Assoc</w:t>
      </w:r>
      <w:r w:rsidRPr="00253877">
        <w:rPr>
          <w:sz w:val="20"/>
          <w:szCs w:val="20"/>
          <w:lang w:val="en-US"/>
        </w:rPr>
        <w:t xml:space="preserve"> </w:t>
      </w:r>
      <w:r w:rsidRPr="00253877">
        <w:rPr>
          <w:b/>
          <w:bCs/>
          <w:sz w:val="20"/>
          <w:szCs w:val="20"/>
          <w:lang w:val="en-US"/>
        </w:rPr>
        <w:t>28</w:t>
      </w:r>
      <w:r w:rsidRPr="00253877">
        <w:rPr>
          <w:sz w:val="20"/>
          <w:szCs w:val="20"/>
          <w:lang w:val="en-US"/>
        </w:rPr>
        <w:t>(6): 1308–1317.</w:t>
      </w:r>
    </w:p>
    <w:p w:rsidRPr="00326081" w:rsidR="008413B6" w:rsidP="00326081" w:rsidRDefault="008413B6" w14:paraId="72AFABC6" w14:textId="77777777">
      <w:pPr>
        <w:pStyle w:val="Subtitle"/>
        <w:rPr>
          <w:sz w:val="20"/>
          <w:szCs w:val="20"/>
        </w:rPr>
      </w:pPr>
      <w:r w:rsidRPr="00326081">
        <w:rPr>
          <w:sz w:val="20"/>
          <w:szCs w:val="20"/>
          <w:lang w:val="en-US"/>
        </w:rPr>
        <w:t xml:space="preserve">HFM Magazine. (2017). RTLS provides efficiency, cost-cutting benefits to hospital and staff. </w:t>
      </w:r>
      <w:r w:rsidRPr="00326081">
        <w:rPr>
          <w:sz w:val="20"/>
          <w:szCs w:val="20"/>
        </w:rPr>
        <w:t>Hentet fra https://www.hfmmagazine.com/articles/3049-rtls-provides-efficiency-cost-cutting-benefits-to-hospital-and-staff</w:t>
      </w:r>
    </w:p>
    <w:p w:rsidRPr="00326081" w:rsidR="001A6291" w:rsidP="00326081" w:rsidRDefault="001A6291" w14:paraId="63AC969C" w14:textId="38800609">
      <w:pPr>
        <w:pStyle w:val="Subtitle"/>
        <w:rPr>
          <w:sz w:val="20"/>
          <w:szCs w:val="20"/>
          <w:lang w:val="en-US"/>
        </w:rPr>
      </w:pPr>
      <w:r w:rsidRPr="00326081">
        <w:rPr>
          <w:sz w:val="20"/>
          <w:szCs w:val="20"/>
        </w:rPr>
        <w:t xml:space="preserve">Tseng, W. C., et al. </w:t>
      </w:r>
      <w:r w:rsidRPr="00326081">
        <w:rPr>
          <w:sz w:val="20"/>
          <w:szCs w:val="20"/>
          <w:lang w:val="en-US"/>
        </w:rPr>
        <w:t>(2025). Evaluation of real-time location system (RTLS) application in radiology departments: An empirical study on enhancing equipment management efficiency and patient safety. Journal of Radiology Informatics.</w:t>
      </w:r>
    </w:p>
    <w:p w:rsidRPr="00253877" w:rsidR="00186C91" w:rsidP="00326081" w:rsidRDefault="00FC7584" w14:paraId="072AA20C" w14:textId="0BC667FE">
      <w:pPr>
        <w:pStyle w:val="Subtitle"/>
        <w:rPr>
          <w:sz w:val="20"/>
          <w:szCs w:val="20"/>
          <w:lang w:val="en-US"/>
        </w:rPr>
      </w:pPr>
      <w:r w:rsidRPr="00326081">
        <w:rPr>
          <w:sz w:val="20"/>
          <w:szCs w:val="20"/>
          <w:lang w:val="en-US"/>
        </w:rPr>
        <w:t xml:space="preserve">Pérez-Martí, M., et al. (2022). "Electronic Records With Tablets at the Point of Care in an Internal Medicine Unit: Before-After Time Motion Study." </w:t>
      </w:r>
      <w:r w:rsidRPr="00253877">
        <w:rPr>
          <w:sz w:val="20"/>
          <w:szCs w:val="20"/>
          <w:u w:val="single"/>
          <w:lang w:val="en-US"/>
        </w:rPr>
        <w:t>JMIR Hum Factors</w:t>
      </w:r>
      <w:r w:rsidRPr="00253877">
        <w:rPr>
          <w:sz w:val="20"/>
          <w:szCs w:val="20"/>
          <w:lang w:val="en-US"/>
        </w:rPr>
        <w:t xml:space="preserve"> </w:t>
      </w:r>
      <w:r w:rsidRPr="00253877">
        <w:rPr>
          <w:b/>
          <w:bCs/>
          <w:sz w:val="20"/>
          <w:szCs w:val="20"/>
          <w:lang w:val="en-US"/>
        </w:rPr>
        <w:t>9</w:t>
      </w:r>
      <w:r w:rsidRPr="00253877">
        <w:rPr>
          <w:sz w:val="20"/>
          <w:szCs w:val="20"/>
          <w:lang w:val="en-US"/>
        </w:rPr>
        <w:t>(1): e30512.</w:t>
      </w:r>
    </w:p>
    <w:p w:rsidRPr="00253877" w:rsidR="00952BDD" w:rsidP="00326081" w:rsidRDefault="00952BDD" w14:paraId="5B2E29D3" w14:textId="6B2E76E0">
      <w:pPr>
        <w:pStyle w:val="Subtitle"/>
        <w:rPr>
          <w:sz w:val="20"/>
          <w:szCs w:val="20"/>
          <w:lang w:val="en-US"/>
        </w:rPr>
      </w:pPr>
      <w:r w:rsidRPr="00253877">
        <w:rPr>
          <w:sz w:val="20"/>
          <w:szCs w:val="20"/>
          <w:lang w:val="en-US"/>
        </w:rPr>
        <w:t xml:space="preserve">Sebire, N. J., et al. </w:t>
      </w:r>
      <w:r w:rsidRPr="00326081">
        <w:rPr>
          <w:sz w:val="20"/>
          <w:szCs w:val="20"/>
          <w:lang w:val="en-US"/>
        </w:rPr>
        <w:t xml:space="preserve">(2025). "The Future Hospital in Global Health Systems: The Future Hospital as an Entity." </w:t>
      </w:r>
      <w:r w:rsidRPr="00253877">
        <w:rPr>
          <w:sz w:val="20"/>
          <w:szCs w:val="20"/>
          <w:u w:val="single"/>
          <w:lang w:val="en-US"/>
        </w:rPr>
        <w:t>The International Journal of Health Planning and Management</w:t>
      </w:r>
      <w:r w:rsidRPr="00253877">
        <w:rPr>
          <w:sz w:val="20"/>
          <w:szCs w:val="20"/>
          <w:lang w:val="en-US"/>
        </w:rPr>
        <w:t xml:space="preserve"> </w:t>
      </w:r>
      <w:r w:rsidRPr="00253877">
        <w:rPr>
          <w:b/>
          <w:bCs/>
          <w:sz w:val="20"/>
          <w:szCs w:val="20"/>
          <w:lang w:val="en-US"/>
        </w:rPr>
        <w:t>40</w:t>
      </w:r>
      <w:r w:rsidRPr="00253877">
        <w:rPr>
          <w:sz w:val="20"/>
          <w:szCs w:val="20"/>
          <w:lang w:val="en-US"/>
        </w:rPr>
        <w:t>(3): 730–740.</w:t>
      </w:r>
    </w:p>
    <w:p w:rsidRPr="00326081" w:rsidR="00C23869" w:rsidP="00326081" w:rsidRDefault="00C23869" w14:paraId="5980B449" w14:textId="77777777">
      <w:pPr>
        <w:pStyle w:val="Subtitle"/>
        <w:rPr>
          <w:sz w:val="20"/>
          <w:szCs w:val="20"/>
          <w:lang w:val="en-US"/>
        </w:rPr>
      </w:pPr>
      <w:r w:rsidRPr="00326081">
        <w:rPr>
          <w:sz w:val="20"/>
          <w:szCs w:val="20"/>
          <w:lang w:val="en-US"/>
        </w:rPr>
        <w:t xml:space="preserve">Jevtic, M., et al. (2024). "Hospital design and planning in the line of foresight of health needs." </w:t>
      </w:r>
      <w:r w:rsidRPr="00326081">
        <w:rPr>
          <w:sz w:val="20"/>
          <w:szCs w:val="20"/>
          <w:u w:val="single"/>
          <w:lang w:val="en-US"/>
        </w:rPr>
        <w:t>European Journal of Public Health</w:t>
      </w:r>
      <w:r w:rsidRPr="00326081">
        <w:rPr>
          <w:sz w:val="20"/>
          <w:szCs w:val="20"/>
          <w:lang w:val="en-US"/>
        </w:rPr>
        <w:t xml:space="preserve"> </w:t>
      </w:r>
      <w:r w:rsidRPr="00326081">
        <w:rPr>
          <w:b/>
          <w:bCs/>
          <w:sz w:val="20"/>
          <w:szCs w:val="20"/>
          <w:lang w:val="en-US"/>
        </w:rPr>
        <w:t>34</w:t>
      </w:r>
      <w:r w:rsidRPr="00326081">
        <w:rPr>
          <w:sz w:val="20"/>
          <w:szCs w:val="20"/>
          <w:lang w:val="en-US"/>
        </w:rPr>
        <w:t>.</w:t>
      </w:r>
    </w:p>
    <w:p w:rsidR="00C23869" w:rsidP="00326081" w:rsidRDefault="00897A4B" w14:paraId="39913BEC" w14:textId="53ACEB64">
      <w:pPr>
        <w:pStyle w:val="Subtitle"/>
        <w:rPr>
          <w:sz w:val="20"/>
          <w:szCs w:val="20"/>
          <w:lang w:val="en-US"/>
        </w:rPr>
      </w:pPr>
      <w:r w:rsidRPr="00326081">
        <w:rPr>
          <w:sz w:val="20"/>
          <w:szCs w:val="20"/>
          <w:lang w:val="en-US"/>
        </w:rPr>
        <w:t xml:space="preserve">Elf, M., et al. (2024). "A Systematic Review of Research Gaps in the Built Environment of Inpatient Healthcare Settings." </w:t>
      </w:r>
      <w:r w:rsidRPr="00326081">
        <w:rPr>
          <w:sz w:val="20"/>
          <w:szCs w:val="20"/>
          <w:u w:val="single"/>
          <w:lang w:val="en-US"/>
        </w:rPr>
        <w:t>HERD: Health Environments Research &amp; Design Journal</w:t>
      </w:r>
      <w:r w:rsidRPr="00326081">
        <w:rPr>
          <w:sz w:val="20"/>
          <w:szCs w:val="20"/>
          <w:lang w:val="en-US"/>
        </w:rPr>
        <w:t xml:space="preserve"> </w:t>
      </w:r>
      <w:r w:rsidRPr="00326081">
        <w:rPr>
          <w:b/>
          <w:bCs/>
          <w:sz w:val="20"/>
          <w:szCs w:val="20"/>
          <w:lang w:val="en-US"/>
        </w:rPr>
        <w:t>17</w:t>
      </w:r>
      <w:r w:rsidRPr="00326081">
        <w:rPr>
          <w:sz w:val="20"/>
          <w:szCs w:val="20"/>
          <w:lang w:val="en-US"/>
        </w:rPr>
        <w:t>(3): 372–394.</w:t>
      </w:r>
    </w:p>
    <w:p w:rsidRPr="0034175B" w:rsidR="001D3ED3" w:rsidP="0034175B" w:rsidRDefault="00485F7D" w14:paraId="0BF1F0BA" w14:textId="773A30EC">
      <w:pPr>
        <w:pStyle w:val="Subtitle"/>
        <w:rPr>
          <w:sz w:val="20"/>
          <w:szCs w:val="20"/>
          <w:lang w:val="en-US"/>
        </w:rPr>
      </w:pPr>
      <w:r w:rsidRPr="0034175B">
        <w:rPr>
          <w:sz w:val="20"/>
          <w:szCs w:val="20"/>
          <w:lang w:val="en-US"/>
        </w:rPr>
        <w:t>Forde-Johnston, C., et al. (2023). "An integrative review exploring the impact of Electronic Health Records (EHR) on the quality of nurse-patient interactions and communication." J Adv Nurs 79(1): 48–67</w:t>
      </w:r>
    </w:p>
    <w:p w:rsidRPr="0034175B" w:rsidR="00485F7D" w:rsidP="0034175B" w:rsidRDefault="0034175B" w14:paraId="0FF9028C" w14:textId="30A0A85B">
      <w:pPr>
        <w:pStyle w:val="Subtitle"/>
        <w:rPr>
          <w:sz w:val="20"/>
          <w:szCs w:val="20"/>
          <w:lang w:val="en-US"/>
        </w:rPr>
      </w:pPr>
      <w:r w:rsidRPr="0034175B">
        <w:rPr>
          <w:sz w:val="20"/>
          <w:szCs w:val="20"/>
          <w:lang w:val="en-US"/>
        </w:rPr>
        <w:t>Moore, E. C., et al. (2020). "A systematic review of the impact of health information technology on nurses' time." J Am Med Inform Assoc 27(5): 798–807.</w:t>
      </w:r>
    </w:p>
    <w:sectPr w:rsidRPr="0034175B" w:rsidR="00485F7D" w:rsidSect="003261C1">
      <w:headerReference w:type="even" r:id="rId15"/>
      <w:headerReference w:type="default" r:id="rId16"/>
      <w:footerReference w:type="even" r:id="rId17"/>
      <w:footerReference w:type="default" r:id="rId18"/>
      <w:headerReference w:type="first" r:id="rId19"/>
      <w:footerReference w:type="first" r:id="rId20"/>
      <w:pgSz w:w="11906" w:h="16838" w:orient="portrait"/>
      <w:pgMar w:top="1417" w:right="1417" w:bottom="1417" w:left="1417"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79C" w:rsidP="00A011B9" w:rsidRDefault="001B779C" w14:paraId="4CF96C3A" w14:textId="77777777">
      <w:r>
        <w:separator/>
      </w:r>
    </w:p>
  </w:endnote>
  <w:endnote w:type="continuationSeparator" w:id="0">
    <w:p w:rsidR="001B779C" w:rsidP="00A011B9" w:rsidRDefault="001B779C" w14:paraId="4EC596A9" w14:textId="77777777">
      <w:r>
        <w:continuationSeparator/>
      </w:r>
    </w:p>
  </w:endnote>
  <w:endnote w:type="continuationNotice" w:id="1">
    <w:p w:rsidR="001B779C" w:rsidRDefault="001B779C" w14:paraId="438EC4F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89" w:rsidRDefault="00090A89" w14:paraId="74BECA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1643"/>
      <w:gridCol w:w="1770"/>
      <w:gridCol w:w="1838"/>
      <w:gridCol w:w="1836"/>
    </w:tblGrid>
    <w:tr w:rsidRPr="00A011B9" w:rsidR="008A3036" w14:paraId="7B0933B3" w14:textId="77777777">
      <w:tc>
        <w:tcPr>
          <w:tcW w:w="1985" w:type="dxa"/>
          <w:tcBorders>
            <w:top w:val="single" w:color="00338D" w:themeColor="accent1" w:sz="18" w:space="0"/>
          </w:tcBorders>
        </w:tcPr>
        <w:p w:rsidRPr="008622F2" w:rsidR="008A3036" w:rsidP="008A3036" w:rsidRDefault="008A3036" w14:paraId="16BA5B64" w14:textId="77777777">
          <w:pPr>
            <w:pStyle w:val="Footer"/>
            <w:rPr>
              <w:b/>
              <w:bCs/>
              <w:sz w:val="16"/>
              <w:szCs w:val="16"/>
            </w:rPr>
          </w:pPr>
          <w:r w:rsidRPr="008622F2">
            <w:rPr>
              <w:b/>
              <w:bCs/>
              <w:sz w:val="16"/>
              <w:szCs w:val="16"/>
            </w:rPr>
            <w:t>Postadresse</w:t>
          </w:r>
        </w:p>
      </w:tc>
      <w:tc>
        <w:tcPr>
          <w:tcW w:w="1643" w:type="dxa"/>
          <w:tcBorders>
            <w:top w:val="single" w:color="00338D" w:themeColor="accent1" w:sz="18" w:space="0"/>
          </w:tcBorders>
        </w:tcPr>
        <w:p w:rsidRPr="008622F2" w:rsidR="008A3036" w:rsidP="008A3036" w:rsidRDefault="008A3036" w14:paraId="0650BC56" w14:textId="77777777">
          <w:pPr>
            <w:pStyle w:val="Footer"/>
            <w:rPr>
              <w:b/>
              <w:bCs/>
              <w:sz w:val="16"/>
              <w:szCs w:val="16"/>
            </w:rPr>
          </w:pPr>
          <w:r w:rsidRPr="008622F2">
            <w:rPr>
              <w:b/>
              <w:bCs/>
              <w:sz w:val="16"/>
              <w:szCs w:val="16"/>
            </w:rPr>
            <w:t>Besøksadresse</w:t>
          </w:r>
        </w:p>
      </w:tc>
      <w:tc>
        <w:tcPr>
          <w:tcW w:w="1770" w:type="dxa"/>
          <w:tcBorders>
            <w:top w:val="single" w:color="00338D" w:themeColor="accent1" w:sz="18" w:space="0"/>
          </w:tcBorders>
        </w:tcPr>
        <w:p w:rsidRPr="008622F2" w:rsidR="008A3036" w:rsidP="008A3036" w:rsidRDefault="008A3036" w14:paraId="6255DAC6" w14:textId="77777777">
          <w:pPr>
            <w:pStyle w:val="Footer"/>
            <w:rPr>
              <w:b/>
              <w:bCs/>
              <w:sz w:val="16"/>
              <w:szCs w:val="16"/>
            </w:rPr>
          </w:pPr>
        </w:p>
      </w:tc>
      <w:tc>
        <w:tcPr>
          <w:tcW w:w="1838" w:type="dxa"/>
          <w:tcBorders>
            <w:top w:val="single" w:color="00338D" w:themeColor="accent1" w:sz="18" w:space="0"/>
          </w:tcBorders>
        </w:tcPr>
        <w:p w:rsidRPr="008622F2" w:rsidR="008A3036" w:rsidP="008A3036" w:rsidRDefault="008A3036" w14:paraId="12B6CC3A" w14:textId="77777777">
          <w:pPr>
            <w:pStyle w:val="Footer"/>
            <w:rPr>
              <w:b/>
              <w:bCs/>
              <w:sz w:val="16"/>
              <w:szCs w:val="16"/>
            </w:rPr>
          </w:pPr>
          <w:r w:rsidRPr="008622F2">
            <w:rPr>
              <w:b/>
              <w:bCs/>
              <w:sz w:val="16"/>
              <w:szCs w:val="16"/>
            </w:rPr>
            <w:t>Epost</w:t>
          </w:r>
        </w:p>
      </w:tc>
      <w:tc>
        <w:tcPr>
          <w:tcW w:w="1836" w:type="dxa"/>
          <w:tcBorders>
            <w:top w:val="single" w:color="00338D" w:themeColor="accent1" w:sz="18" w:space="0"/>
          </w:tcBorders>
        </w:tcPr>
        <w:p w:rsidRPr="008622F2" w:rsidR="008A3036" w:rsidP="008A3036" w:rsidRDefault="008A3036" w14:paraId="09C58EF0" w14:textId="77777777">
          <w:pPr>
            <w:pStyle w:val="Footer"/>
            <w:rPr>
              <w:b/>
              <w:bCs/>
              <w:sz w:val="16"/>
              <w:szCs w:val="16"/>
            </w:rPr>
          </w:pPr>
          <w:r w:rsidRPr="008622F2">
            <w:rPr>
              <w:b/>
              <w:bCs/>
              <w:sz w:val="16"/>
              <w:szCs w:val="16"/>
            </w:rPr>
            <w:t>Foretaksregisteret</w:t>
          </w:r>
        </w:p>
      </w:tc>
    </w:tr>
    <w:tr w:rsidRPr="00A011B9" w:rsidR="008A3036" w14:paraId="1E318100" w14:textId="77777777">
      <w:tc>
        <w:tcPr>
          <w:tcW w:w="1985" w:type="dxa"/>
        </w:tcPr>
        <w:p w:rsidRPr="008622F2" w:rsidR="008A3036" w:rsidP="008A3036" w:rsidRDefault="008A3036" w14:paraId="2B1141CE" w14:textId="77777777">
          <w:pPr>
            <w:pStyle w:val="Footer"/>
            <w:rPr>
              <w:sz w:val="16"/>
              <w:szCs w:val="16"/>
            </w:rPr>
          </w:pPr>
          <w:r w:rsidRPr="008622F2">
            <w:rPr>
              <w:sz w:val="16"/>
              <w:szCs w:val="16"/>
            </w:rPr>
            <w:t>Sykehusbygg HF</w:t>
          </w:r>
        </w:p>
      </w:tc>
      <w:tc>
        <w:tcPr>
          <w:tcW w:w="1643" w:type="dxa"/>
        </w:tcPr>
        <w:p w:rsidRPr="008622F2" w:rsidR="008A3036" w:rsidP="008A3036" w:rsidRDefault="008A3036" w14:paraId="50164557" w14:textId="77777777">
          <w:pPr>
            <w:pStyle w:val="Footer"/>
            <w:rPr>
              <w:sz w:val="16"/>
              <w:szCs w:val="16"/>
            </w:rPr>
          </w:pPr>
          <w:r w:rsidRPr="008622F2">
            <w:rPr>
              <w:sz w:val="16"/>
              <w:szCs w:val="16"/>
            </w:rPr>
            <w:t>Holtermanns veg 3</w:t>
          </w:r>
        </w:p>
      </w:tc>
      <w:tc>
        <w:tcPr>
          <w:tcW w:w="1770" w:type="dxa"/>
        </w:tcPr>
        <w:p w:rsidRPr="008622F2" w:rsidR="008A3036" w:rsidP="008A3036" w:rsidRDefault="008A3036" w14:paraId="016EFBB7" w14:textId="77777777">
          <w:pPr>
            <w:pStyle w:val="Footer"/>
            <w:rPr>
              <w:sz w:val="16"/>
              <w:szCs w:val="16"/>
            </w:rPr>
          </w:pPr>
        </w:p>
      </w:tc>
      <w:tc>
        <w:tcPr>
          <w:tcW w:w="1838" w:type="dxa"/>
        </w:tcPr>
        <w:p w:rsidRPr="008622F2" w:rsidR="008A3036" w:rsidP="008A3036" w:rsidRDefault="008A3036" w14:paraId="19BB5E8B" w14:textId="77777777">
          <w:pPr>
            <w:pStyle w:val="Footer"/>
            <w:rPr>
              <w:sz w:val="16"/>
              <w:szCs w:val="16"/>
            </w:rPr>
          </w:pPr>
          <w:r w:rsidRPr="008622F2">
            <w:rPr>
              <w:sz w:val="16"/>
              <w:szCs w:val="16"/>
            </w:rPr>
            <w:t>post@sykehusbygg.no</w:t>
          </w:r>
        </w:p>
      </w:tc>
      <w:tc>
        <w:tcPr>
          <w:tcW w:w="1836" w:type="dxa"/>
        </w:tcPr>
        <w:p w:rsidRPr="008622F2" w:rsidR="008A3036" w:rsidP="008A3036" w:rsidRDefault="008A3036" w14:paraId="4426C3C7" w14:textId="77777777">
          <w:pPr>
            <w:pStyle w:val="Footer"/>
            <w:rPr>
              <w:sz w:val="16"/>
              <w:szCs w:val="16"/>
            </w:rPr>
          </w:pPr>
          <w:r w:rsidRPr="008622F2">
            <w:rPr>
              <w:sz w:val="16"/>
              <w:szCs w:val="16"/>
            </w:rPr>
            <w:t>Org.nr 814 630 722</w:t>
          </w:r>
        </w:p>
      </w:tc>
    </w:tr>
    <w:tr w:rsidRPr="00A011B9" w:rsidR="008A3036" w14:paraId="058E83D3" w14:textId="77777777">
      <w:tc>
        <w:tcPr>
          <w:tcW w:w="1985" w:type="dxa"/>
        </w:tcPr>
        <w:p w:rsidRPr="008622F2" w:rsidR="008A3036" w:rsidP="008A3036" w:rsidRDefault="008A3036" w14:paraId="6C2E94BF" w14:textId="77777777">
          <w:pPr>
            <w:pStyle w:val="Footer"/>
            <w:rPr>
              <w:sz w:val="16"/>
              <w:szCs w:val="16"/>
            </w:rPr>
          </w:pPr>
          <w:r w:rsidRPr="008622F2">
            <w:rPr>
              <w:sz w:val="16"/>
              <w:szCs w:val="16"/>
            </w:rPr>
            <w:t>Postboks 6245 Torgarden</w:t>
          </w:r>
        </w:p>
      </w:tc>
      <w:tc>
        <w:tcPr>
          <w:tcW w:w="1643" w:type="dxa"/>
        </w:tcPr>
        <w:p w:rsidRPr="008622F2" w:rsidR="008A3036" w:rsidP="008A3036" w:rsidRDefault="008A3036" w14:paraId="520D429F" w14:textId="77777777">
          <w:pPr>
            <w:pStyle w:val="Footer"/>
            <w:rPr>
              <w:sz w:val="16"/>
              <w:szCs w:val="16"/>
            </w:rPr>
          </w:pPr>
          <w:r w:rsidRPr="008622F2">
            <w:rPr>
              <w:sz w:val="16"/>
              <w:szCs w:val="16"/>
            </w:rPr>
            <w:t>7030 Trondheim</w:t>
          </w:r>
        </w:p>
      </w:tc>
      <w:tc>
        <w:tcPr>
          <w:tcW w:w="1770" w:type="dxa"/>
        </w:tcPr>
        <w:p w:rsidRPr="008622F2" w:rsidR="008A3036" w:rsidP="008A3036" w:rsidRDefault="008A3036" w14:paraId="61C1A281" w14:textId="77777777">
          <w:pPr>
            <w:pStyle w:val="Footer"/>
            <w:rPr>
              <w:sz w:val="16"/>
              <w:szCs w:val="16"/>
            </w:rPr>
          </w:pPr>
        </w:p>
      </w:tc>
      <w:tc>
        <w:tcPr>
          <w:tcW w:w="1838" w:type="dxa"/>
        </w:tcPr>
        <w:p w:rsidRPr="00185401" w:rsidR="008A3036" w:rsidP="008A3036" w:rsidRDefault="008A3036" w14:paraId="5C841969" w14:textId="77777777">
          <w:pPr>
            <w:pStyle w:val="Footer"/>
            <w:rPr>
              <w:b/>
              <w:bCs/>
              <w:sz w:val="16"/>
              <w:szCs w:val="16"/>
            </w:rPr>
          </w:pPr>
          <w:r w:rsidRPr="00185401">
            <w:rPr>
              <w:b/>
              <w:bCs/>
              <w:sz w:val="16"/>
              <w:szCs w:val="16"/>
            </w:rPr>
            <w:t>Nettside</w:t>
          </w:r>
        </w:p>
      </w:tc>
      <w:tc>
        <w:tcPr>
          <w:tcW w:w="1836" w:type="dxa"/>
        </w:tcPr>
        <w:p w:rsidRPr="008622F2" w:rsidR="008A3036" w:rsidP="008A3036" w:rsidRDefault="008A3036" w14:paraId="52CFB639" w14:textId="77777777">
          <w:pPr>
            <w:pStyle w:val="Footer"/>
            <w:rPr>
              <w:sz w:val="16"/>
              <w:szCs w:val="16"/>
            </w:rPr>
          </w:pPr>
        </w:p>
      </w:tc>
    </w:tr>
    <w:tr w:rsidRPr="00A011B9" w:rsidR="008A3036" w14:paraId="0FEC4A8C" w14:textId="77777777">
      <w:tc>
        <w:tcPr>
          <w:tcW w:w="1985" w:type="dxa"/>
        </w:tcPr>
        <w:p w:rsidRPr="008622F2" w:rsidR="008A3036" w:rsidP="008A3036" w:rsidRDefault="008A3036" w14:paraId="4763E455" w14:textId="77777777">
          <w:pPr>
            <w:pStyle w:val="Footer"/>
            <w:rPr>
              <w:sz w:val="16"/>
              <w:szCs w:val="16"/>
            </w:rPr>
          </w:pPr>
          <w:r w:rsidRPr="008622F2">
            <w:rPr>
              <w:sz w:val="16"/>
              <w:szCs w:val="16"/>
            </w:rPr>
            <w:t>7488 Trondheim</w:t>
          </w:r>
        </w:p>
      </w:tc>
      <w:tc>
        <w:tcPr>
          <w:tcW w:w="1643" w:type="dxa"/>
        </w:tcPr>
        <w:p w:rsidRPr="008622F2" w:rsidR="008A3036" w:rsidP="008A3036" w:rsidRDefault="008A3036" w14:paraId="5E3B70EF" w14:textId="77777777">
          <w:pPr>
            <w:pStyle w:val="Footer"/>
            <w:rPr>
              <w:sz w:val="16"/>
              <w:szCs w:val="16"/>
            </w:rPr>
          </w:pPr>
        </w:p>
      </w:tc>
      <w:tc>
        <w:tcPr>
          <w:tcW w:w="1770" w:type="dxa"/>
        </w:tcPr>
        <w:p w:rsidRPr="008622F2" w:rsidR="008A3036" w:rsidP="008A3036" w:rsidRDefault="008A3036" w14:paraId="29687BC9" w14:textId="77777777">
          <w:pPr>
            <w:pStyle w:val="Footer"/>
            <w:rPr>
              <w:sz w:val="16"/>
              <w:szCs w:val="16"/>
            </w:rPr>
          </w:pPr>
        </w:p>
      </w:tc>
      <w:tc>
        <w:tcPr>
          <w:tcW w:w="1838" w:type="dxa"/>
        </w:tcPr>
        <w:p w:rsidRPr="008622F2" w:rsidR="008A3036" w:rsidP="008A3036" w:rsidRDefault="008A3036" w14:paraId="28618445" w14:textId="77777777">
          <w:pPr>
            <w:pStyle w:val="Footer"/>
            <w:rPr>
              <w:sz w:val="16"/>
              <w:szCs w:val="16"/>
            </w:rPr>
          </w:pPr>
          <w:r w:rsidRPr="008622F2">
            <w:rPr>
              <w:sz w:val="16"/>
              <w:szCs w:val="16"/>
            </w:rPr>
            <w:t>www.sykehusbygg.no</w:t>
          </w:r>
        </w:p>
      </w:tc>
      <w:tc>
        <w:tcPr>
          <w:tcW w:w="1836" w:type="dxa"/>
        </w:tcPr>
        <w:p w:rsidRPr="008622F2" w:rsidR="008A3036" w:rsidP="008A3036" w:rsidRDefault="008A3036" w14:paraId="401C1206" w14:textId="77777777">
          <w:pPr>
            <w:pStyle w:val="Footer"/>
            <w:jc w:val="right"/>
            <w:rPr>
              <w:sz w:val="16"/>
              <w:szCs w:val="16"/>
            </w:rPr>
          </w:pPr>
        </w:p>
      </w:tc>
    </w:tr>
  </w:tbl>
  <w:p w:rsidRPr="008A3036" w:rsidR="00A011B9" w:rsidP="008A3036" w:rsidRDefault="00A011B9" w14:paraId="76F492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1643"/>
      <w:gridCol w:w="1770"/>
      <w:gridCol w:w="1838"/>
      <w:gridCol w:w="1836"/>
    </w:tblGrid>
    <w:tr w:rsidRPr="00A011B9" w:rsidR="0041621E" w:rsidTr="008622F2" w14:paraId="38D0C57F" w14:textId="77777777">
      <w:tc>
        <w:tcPr>
          <w:tcW w:w="1985" w:type="dxa"/>
          <w:tcBorders>
            <w:top w:val="single" w:color="00338D" w:themeColor="accent1" w:sz="18" w:space="0"/>
          </w:tcBorders>
        </w:tcPr>
        <w:p w:rsidRPr="008622F2" w:rsidR="0041621E" w:rsidP="0041621E" w:rsidRDefault="0041621E" w14:paraId="355B1C24" w14:textId="77777777">
          <w:pPr>
            <w:pStyle w:val="Footer"/>
            <w:rPr>
              <w:b/>
              <w:bCs/>
              <w:sz w:val="16"/>
              <w:szCs w:val="16"/>
            </w:rPr>
          </w:pPr>
          <w:r w:rsidRPr="008622F2">
            <w:rPr>
              <w:b/>
              <w:bCs/>
              <w:sz w:val="16"/>
              <w:szCs w:val="16"/>
            </w:rPr>
            <w:t>Postadresse</w:t>
          </w:r>
        </w:p>
      </w:tc>
      <w:tc>
        <w:tcPr>
          <w:tcW w:w="1643" w:type="dxa"/>
          <w:tcBorders>
            <w:top w:val="single" w:color="00338D" w:themeColor="accent1" w:sz="18" w:space="0"/>
          </w:tcBorders>
        </w:tcPr>
        <w:p w:rsidRPr="008622F2" w:rsidR="0041621E" w:rsidP="0041621E" w:rsidRDefault="0041621E" w14:paraId="035357F7" w14:textId="77777777">
          <w:pPr>
            <w:pStyle w:val="Footer"/>
            <w:rPr>
              <w:b/>
              <w:bCs/>
              <w:sz w:val="16"/>
              <w:szCs w:val="16"/>
            </w:rPr>
          </w:pPr>
          <w:r w:rsidRPr="008622F2">
            <w:rPr>
              <w:b/>
              <w:bCs/>
              <w:sz w:val="16"/>
              <w:szCs w:val="16"/>
            </w:rPr>
            <w:t>Besøksadresse</w:t>
          </w:r>
        </w:p>
      </w:tc>
      <w:tc>
        <w:tcPr>
          <w:tcW w:w="1770" w:type="dxa"/>
          <w:tcBorders>
            <w:top w:val="single" w:color="00338D" w:themeColor="accent1" w:sz="18" w:space="0"/>
          </w:tcBorders>
        </w:tcPr>
        <w:p w:rsidRPr="008622F2" w:rsidR="0041621E" w:rsidP="0041621E" w:rsidRDefault="0041621E" w14:paraId="2F624BC4" w14:textId="77777777">
          <w:pPr>
            <w:pStyle w:val="Footer"/>
            <w:rPr>
              <w:b/>
              <w:bCs/>
              <w:sz w:val="16"/>
              <w:szCs w:val="16"/>
            </w:rPr>
          </w:pPr>
        </w:p>
      </w:tc>
      <w:tc>
        <w:tcPr>
          <w:tcW w:w="1838" w:type="dxa"/>
          <w:tcBorders>
            <w:top w:val="single" w:color="00338D" w:themeColor="accent1" w:sz="18" w:space="0"/>
          </w:tcBorders>
        </w:tcPr>
        <w:p w:rsidRPr="008622F2" w:rsidR="0041621E" w:rsidP="0041621E" w:rsidRDefault="0041621E" w14:paraId="6901580C" w14:textId="77777777">
          <w:pPr>
            <w:pStyle w:val="Footer"/>
            <w:rPr>
              <w:b/>
              <w:bCs/>
              <w:sz w:val="16"/>
              <w:szCs w:val="16"/>
            </w:rPr>
          </w:pPr>
          <w:r w:rsidRPr="008622F2">
            <w:rPr>
              <w:b/>
              <w:bCs/>
              <w:sz w:val="16"/>
              <w:szCs w:val="16"/>
            </w:rPr>
            <w:t>Epost</w:t>
          </w:r>
        </w:p>
      </w:tc>
      <w:tc>
        <w:tcPr>
          <w:tcW w:w="1836" w:type="dxa"/>
          <w:tcBorders>
            <w:top w:val="single" w:color="00338D" w:themeColor="accent1" w:sz="18" w:space="0"/>
          </w:tcBorders>
        </w:tcPr>
        <w:p w:rsidRPr="008622F2" w:rsidR="0041621E" w:rsidP="0041621E" w:rsidRDefault="0041621E" w14:paraId="739BBDE4" w14:textId="77777777">
          <w:pPr>
            <w:pStyle w:val="Footer"/>
            <w:rPr>
              <w:b/>
              <w:bCs/>
              <w:sz w:val="16"/>
              <w:szCs w:val="16"/>
            </w:rPr>
          </w:pPr>
          <w:r w:rsidRPr="008622F2">
            <w:rPr>
              <w:b/>
              <w:bCs/>
              <w:sz w:val="16"/>
              <w:szCs w:val="16"/>
            </w:rPr>
            <w:t>Foretaksregisteret</w:t>
          </w:r>
        </w:p>
      </w:tc>
    </w:tr>
    <w:tr w:rsidRPr="00A011B9" w:rsidR="0041621E" w:rsidTr="008622F2" w14:paraId="6F52E1F7" w14:textId="77777777">
      <w:tc>
        <w:tcPr>
          <w:tcW w:w="1985" w:type="dxa"/>
        </w:tcPr>
        <w:p w:rsidRPr="008622F2" w:rsidR="0041621E" w:rsidP="0041621E" w:rsidRDefault="0041621E" w14:paraId="3C3561BE" w14:textId="77777777">
          <w:pPr>
            <w:pStyle w:val="Footer"/>
            <w:rPr>
              <w:sz w:val="16"/>
              <w:szCs w:val="16"/>
            </w:rPr>
          </w:pPr>
          <w:r w:rsidRPr="008622F2">
            <w:rPr>
              <w:sz w:val="16"/>
              <w:szCs w:val="16"/>
            </w:rPr>
            <w:t>Sykehusbygg HF</w:t>
          </w:r>
        </w:p>
      </w:tc>
      <w:tc>
        <w:tcPr>
          <w:tcW w:w="1643" w:type="dxa"/>
        </w:tcPr>
        <w:p w:rsidRPr="008622F2" w:rsidR="0041621E" w:rsidP="0041621E" w:rsidRDefault="0041621E" w14:paraId="66F3903C" w14:textId="77777777">
          <w:pPr>
            <w:pStyle w:val="Footer"/>
            <w:rPr>
              <w:sz w:val="16"/>
              <w:szCs w:val="16"/>
            </w:rPr>
          </w:pPr>
          <w:r w:rsidRPr="008622F2">
            <w:rPr>
              <w:sz w:val="16"/>
              <w:szCs w:val="16"/>
            </w:rPr>
            <w:t>Holtermanns veg 3</w:t>
          </w:r>
        </w:p>
      </w:tc>
      <w:tc>
        <w:tcPr>
          <w:tcW w:w="1770" w:type="dxa"/>
        </w:tcPr>
        <w:p w:rsidRPr="008622F2" w:rsidR="0041621E" w:rsidP="0041621E" w:rsidRDefault="0041621E" w14:paraId="28F14250" w14:textId="77777777">
          <w:pPr>
            <w:pStyle w:val="Footer"/>
            <w:rPr>
              <w:sz w:val="16"/>
              <w:szCs w:val="16"/>
            </w:rPr>
          </w:pPr>
        </w:p>
      </w:tc>
      <w:tc>
        <w:tcPr>
          <w:tcW w:w="1838" w:type="dxa"/>
        </w:tcPr>
        <w:p w:rsidRPr="008622F2" w:rsidR="0041621E" w:rsidP="0041621E" w:rsidRDefault="0041621E" w14:paraId="4A89BBD9" w14:textId="77777777">
          <w:pPr>
            <w:pStyle w:val="Footer"/>
            <w:rPr>
              <w:sz w:val="16"/>
              <w:szCs w:val="16"/>
            </w:rPr>
          </w:pPr>
          <w:r w:rsidRPr="008622F2">
            <w:rPr>
              <w:sz w:val="16"/>
              <w:szCs w:val="16"/>
            </w:rPr>
            <w:t>post@sykehusbygg.no</w:t>
          </w:r>
        </w:p>
      </w:tc>
      <w:tc>
        <w:tcPr>
          <w:tcW w:w="1836" w:type="dxa"/>
        </w:tcPr>
        <w:p w:rsidRPr="008622F2" w:rsidR="0041621E" w:rsidP="0041621E" w:rsidRDefault="0041621E" w14:paraId="20F843EF" w14:textId="77777777">
          <w:pPr>
            <w:pStyle w:val="Footer"/>
            <w:rPr>
              <w:sz w:val="16"/>
              <w:szCs w:val="16"/>
            </w:rPr>
          </w:pPr>
          <w:r w:rsidRPr="008622F2">
            <w:rPr>
              <w:sz w:val="16"/>
              <w:szCs w:val="16"/>
            </w:rPr>
            <w:t>Org.nr 814 630 722</w:t>
          </w:r>
        </w:p>
      </w:tc>
    </w:tr>
    <w:tr w:rsidRPr="00A011B9" w:rsidR="0041621E" w:rsidTr="008622F2" w14:paraId="78F1A7E1" w14:textId="77777777">
      <w:tc>
        <w:tcPr>
          <w:tcW w:w="1985" w:type="dxa"/>
        </w:tcPr>
        <w:p w:rsidRPr="008622F2" w:rsidR="0041621E" w:rsidP="0041621E" w:rsidRDefault="0041621E" w14:paraId="59B3BF22" w14:textId="77777777">
          <w:pPr>
            <w:pStyle w:val="Footer"/>
            <w:rPr>
              <w:sz w:val="16"/>
              <w:szCs w:val="16"/>
            </w:rPr>
          </w:pPr>
          <w:r w:rsidRPr="008622F2">
            <w:rPr>
              <w:sz w:val="16"/>
              <w:szCs w:val="16"/>
            </w:rPr>
            <w:t>Postboks 6245 Torgarden</w:t>
          </w:r>
        </w:p>
      </w:tc>
      <w:tc>
        <w:tcPr>
          <w:tcW w:w="1643" w:type="dxa"/>
        </w:tcPr>
        <w:p w:rsidRPr="008622F2" w:rsidR="0041621E" w:rsidP="0041621E" w:rsidRDefault="0041621E" w14:paraId="5FB865AC" w14:textId="77777777">
          <w:pPr>
            <w:pStyle w:val="Footer"/>
            <w:rPr>
              <w:sz w:val="16"/>
              <w:szCs w:val="16"/>
            </w:rPr>
          </w:pPr>
          <w:r w:rsidRPr="008622F2">
            <w:rPr>
              <w:sz w:val="16"/>
              <w:szCs w:val="16"/>
            </w:rPr>
            <w:t>7030 Trondheim</w:t>
          </w:r>
        </w:p>
      </w:tc>
      <w:tc>
        <w:tcPr>
          <w:tcW w:w="1770" w:type="dxa"/>
        </w:tcPr>
        <w:p w:rsidRPr="008622F2" w:rsidR="0041621E" w:rsidP="0041621E" w:rsidRDefault="0041621E" w14:paraId="40216E05" w14:textId="77777777">
          <w:pPr>
            <w:pStyle w:val="Footer"/>
            <w:rPr>
              <w:sz w:val="16"/>
              <w:szCs w:val="16"/>
            </w:rPr>
          </w:pPr>
        </w:p>
      </w:tc>
      <w:tc>
        <w:tcPr>
          <w:tcW w:w="1838" w:type="dxa"/>
        </w:tcPr>
        <w:p w:rsidRPr="00185401" w:rsidR="0041621E" w:rsidP="0041621E" w:rsidRDefault="00185401" w14:paraId="5D869D4A" w14:textId="77777777">
          <w:pPr>
            <w:pStyle w:val="Footer"/>
            <w:rPr>
              <w:b/>
              <w:bCs/>
              <w:sz w:val="16"/>
              <w:szCs w:val="16"/>
            </w:rPr>
          </w:pPr>
          <w:r w:rsidRPr="00185401">
            <w:rPr>
              <w:b/>
              <w:bCs/>
              <w:sz w:val="16"/>
              <w:szCs w:val="16"/>
            </w:rPr>
            <w:t>Nettside</w:t>
          </w:r>
        </w:p>
      </w:tc>
      <w:tc>
        <w:tcPr>
          <w:tcW w:w="1836" w:type="dxa"/>
        </w:tcPr>
        <w:p w:rsidRPr="008622F2" w:rsidR="0041621E" w:rsidP="0041621E" w:rsidRDefault="0041621E" w14:paraId="104D1A2B" w14:textId="77777777">
          <w:pPr>
            <w:pStyle w:val="Footer"/>
            <w:rPr>
              <w:sz w:val="16"/>
              <w:szCs w:val="16"/>
            </w:rPr>
          </w:pPr>
        </w:p>
      </w:tc>
    </w:tr>
    <w:tr w:rsidRPr="00A011B9" w:rsidR="00185401" w:rsidTr="008622F2" w14:paraId="7195EB06" w14:textId="77777777">
      <w:tc>
        <w:tcPr>
          <w:tcW w:w="1985" w:type="dxa"/>
        </w:tcPr>
        <w:p w:rsidRPr="008622F2" w:rsidR="00185401" w:rsidP="00185401" w:rsidRDefault="00185401" w14:paraId="69C24EC8" w14:textId="77777777">
          <w:pPr>
            <w:pStyle w:val="Footer"/>
            <w:rPr>
              <w:sz w:val="16"/>
              <w:szCs w:val="16"/>
            </w:rPr>
          </w:pPr>
          <w:r w:rsidRPr="008622F2">
            <w:rPr>
              <w:sz w:val="16"/>
              <w:szCs w:val="16"/>
            </w:rPr>
            <w:t>7488 Trondheim</w:t>
          </w:r>
        </w:p>
      </w:tc>
      <w:tc>
        <w:tcPr>
          <w:tcW w:w="1643" w:type="dxa"/>
        </w:tcPr>
        <w:p w:rsidRPr="008622F2" w:rsidR="00185401" w:rsidP="00185401" w:rsidRDefault="00185401" w14:paraId="5E554C29" w14:textId="77777777">
          <w:pPr>
            <w:pStyle w:val="Footer"/>
            <w:rPr>
              <w:sz w:val="16"/>
              <w:szCs w:val="16"/>
            </w:rPr>
          </w:pPr>
        </w:p>
      </w:tc>
      <w:tc>
        <w:tcPr>
          <w:tcW w:w="1770" w:type="dxa"/>
        </w:tcPr>
        <w:p w:rsidRPr="008622F2" w:rsidR="00185401" w:rsidP="00185401" w:rsidRDefault="00185401" w14:paraId="0957A441" w14:textId="77777777">
          <w:pPr>
            <w:pStyle w:val="Footer"/>
            <w:rPr>
              <w:sz w:val="16"/>
              <w:szCs w:val="16"/>
            </w:rPr>
          </w:pPr>
        </w:p>
      </w:tc>
      <w:tc>
        <w:tcPr>
          <w:tcW w:w="1838" w:type="dxa"/>
        </w:tcPr>
        <w:p w:rsidRPr="008622F2" w:rsidR="00185401" w:rsidP="00185401" w:rsidRDefault="00185401" w14:paraId="0244FF8C" w14:textId="77777777">
          <w:pPr>
            <w:pStyle w:val="Footer"/>
            <w:rPr>
              <w:sz w:val="16"/>
              <w:szCs w:val="16"/>
            </w:rPr>
          </w:pPr>
          <w:r w:rsidRPr="008622F2">
            <w:rPr>
              <w:sz w:val="16"/>
              <w:szCs w:val="16"/>
            </w:rPr>
            <w:t>www.sykehusbygg.no</w:t>
          </w:r>
        </w:p>
      </w:tc>
      <w:tc>
        <w:tcPr>
          <w:tcW w:w="1836" w:type="dxa"/>
        </w:tcPr>
        <w:p w:rsidRPr="008622F2" w:rsidR="00185401" w:rsidP="00185401" w:rsidRDefault="00185401" w14:paraId="2C0C5E99" w14:textId="77777777">
          <w:pPr>
            <w:pStyle w:val="Footer"/>
            <w:jc w:val="right"/>
            <w:rPr>
              <w:sz w:val="16"/>
              <w:szCs w:val="16"/>
            </w:rPr>
          </w:pPr>
        </w:p>
      </w:tc>
    </w:tr>
  </w:tbl>
  <w:p w:rsidR="00A011B9" w:rsidRDefault="00A011B9" w14:paraId="1F6635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79C" w:rsidP="00A011B9" w:rsidRDefault="001B779C" w14:paraId="6B91EF09" w14:textId="77777777">
      <w:r>
        <w:separator/>
      </w:r>
    </w:p>
  </w:footnote>
  <w:footnote w:type="continuationSeparator" w:id="0">
    <w:p w:rsidR="001B779C" w:rsidP="00A011B9" w:rsidRDefault="001B779C" w14:paraId="12318B20" w14:textId="77777777">
      <w:r>
        <w:continuationSeparator/>
      </w:r>
    </w:p>
  </w:footnote>
  <w:footnote w:type="continuationNotice" w:id="1">
    <w:p w:rsidR="001B779C" w:rsidRDefault="001B779C" w14:paraId="1A77A0D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89" w:rsidRDefault="00090A89" w14:paraId="0C2505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062"/>
    </w:tblGrid>
    <w:tr w:rsidRPr="005841E6" w:rsidR="005841E6" w:rsidTr="0041621E" w14:paraId="4B707FF1" w14:textId="77777777">
      <w:tc>
        <w:tcPr>
          <w:tcW w:w="9062" w:type="dxa"/>
          <w:tcBorders>
            <w:top w:val="nil"/>
            <w:left w:val="nil"/>
            <w:bottom w:val="single" w:color="00338D" w:themeColor="accent1" w:sz="18" w:space="0"/>
            <w:right w:val="nil"/>
          </w:tcBorders>
        </w:tcPr>
        <w:p w:rsidRPr="005841E6" w:rsidR="0041621E" w:rsidP="0041621E" w:rsidRDefault="0041621E" w14:paraId="74DC8894" w14:textId="270ECD01">
          <w:pPr>
            <w:pStyle w:val="Header"/>
            <w:tabs>
              <w:tab w:val="left" w:pos="8235"/>
            </w:tabs>
            <w:jc w:val="right"/>
          </w:pPr>
          <w:r w:rsidRPr="00F32AA7">
            <w:rPr>
              <w:sz w:val="16"/>
              <w:szCs w:val="16"/>
            </w:rPr>
            <w:t xml:space="preserve">Side </w:t>
          </w:r>
          <w:r w:rsidRPr="00F32AA7">
            <w:rPr>
              <w:sz w:val="16"/>
              <w:szCs w:val="16"/>
            </w:rPr>
            <w:fldChar w:fldCharType="begin"/>
          </w:r>
          <w:r w:rsidRPr="00F32AA7">
            <w:rPr>
              <w:sz w:val="16"/>
              <w:szCs w:val="16"/>
            </w:rPr>
            <w:instrText xml:space="preserve"> PAGE   \* MERGEFORMAT </w:instrText>
          </w:r>
          <w:r w:rsidRPr="00F32AA7">
            <w:rPr>
              <w:sz w:val="16"/>
              <w:szCs w:val="16"/>
            </w:rPr>
            <w:fldChar w:fldCharType="separate"/>
          </w:r>
          <w:r w:rsidRPr="00F32AA7">
            <w:rPr>
              <w:sz w:val="16"/>
              <w:szCs w:val="16"/>
            </w:rPr>
            <w:t>2</w:t>
          </w:r>
          <w:r w:rsidRPr="00F32AA7">
            <w:rPr>
              <w:sz w:val="16"/>
              <w:szCs w:val="16"/>
            </w:rPr>
            <w:fldChar w:fldCharType="end"/>
          </w:r>
          <w:r w:rsidRPr="00F32AA7">
            <w:rPr>
              <w:sz w:val="16"/>
              <w:szCs w:val="16"/>
            </w:rPr>
            <w:t xml:space="preserve"> av </w:t>
          </w:r>
          <w:r w:rsidRPr="00F32AA7">
            <w:rPr>
              <w:sz w:val="16"/>
              <w:szCs w:val="16"/>
            </w:rPr>
            <w:fldChar w:fldCharType="begin"/>
          </w:r>
          <w:r w:rsidRPr="00F32AA7">
            <w:rPr>
              <w:sz w:val="16"/>
              <w:szCs w:val="16"/>
            </w:rPr>
            <w:instrText xml:space="preserve"> SECTIONPAGES   \* MERGEFORMAT </w:instrText>
          </w:r>
          <w:r w:rsidRPr="00F32AA7">
            <w:rPr>
              <w:sz w:val="16"/>
              <w:szCs w:val="16"/>
            </w:rPr>
            <w:fldChar w:fldCharType="separate"/>
          </w:r>
          <w:r w:rsidR="00B64978">
            <w:rPr>
              <w:noProof/>
              <w:sz w:val="16"/>
              <w:szCs w:val="16"/>
            </w:rPr>
            <w:t>5</w:t>
          </w:r>
          <w:r w:rsidRPr="00F32AA7">
            <w:rPr>
              <w:noProof/>
              <w:sz w:val="16"/>
              <w:szCs w:val="16"/>
            </w:rPr>
            <w:fldChar w:fldCharType="end"/>
          </w:r>
        </w:p>
      </w:tc>
    </w:tr>
  </w:tbl>
  <w:p w:rsidR="00A011B9" w:rsidP="005000D4" w:rsidRDefault="00A011B9" w14:paraId="35E919CB" w14:textId="77777777">
    <w:pPr>
      <w:pStyle w:val="Header"/>
      <w:tabs>
        <w:tab w:val="left" w:pos="82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0" w:type="auto"/>
      <w:tblBorders>
        <w:top w:val="none" w:color="auto" w:sz="0" w:space="0"/>
        <w:left w:val="none" w:color="auto" w:sz="0" w:space="0"/>
        <w:bottom w:val="single" w:color="00338D" w:themeColor="accent1" w:sz="18" w:space="0"/>
        <w:right w:val="none" w:color="auto" w:sz="0" w:space="0"/>
        <w:insideH w:val="none" w:color="auto" w:sz="0" w:space="0"/>
        <w:insideV w:val="none" w:color="auto" w:sz="0" w:space="0"/>
      </w:tblBorders>
      <w:tblLook w:val="04A0" w:firstRow="1" w:lastRow="0" w:firstColumn="1" w:lastColumn="0" w:noHBand="0" w:noVBand="1"/>
    </w:tblPr>
    <w:tblGrid>
      <w:gridCol w:w="4678"/>
      <w:gridCol w:w="284"/>
      <w:gridCol w:w="1913"/>
      <w:gridCol w:w="1914"/>
      <w:gridCol w:w="283"/>
    </w:tblGrid>
    <w:tr w:rsidR="00532E63" w:rsidTr="00EB759F" w14:paraId="5160D227" w14:textId="77777777">
      <w:trPr>
        <w:trHeight w:val="227"/>
      </w:trPr>
      <w:tc>
        <w:tcPr>
          <w:tcW w:w="4678" w:type="dxa"/>
          <w:vMerge w:val="restart"/>
        </w:tcPr>
        <w:p w:rsidR="00532E63" w:rsidRDefault="00532E63" w14:paraId="14D3C71F" w14:textId="77777777">
          <w:pPr>
            <w:pStyle w:val="Header"/>
          </w:pPr>
          <w:r>
            <w:rPr>
              <w:noProof/>
            </w:rPr>
            <w:drawing>
              <wp:inline distT="0" distB="0" distL="0" distR="0" wp14:anchorId="2C6D8692" wp14:editId="00D05AA5">
                <wp:extent cx="2724150" cy="595583"/>
                <wp:effectExtent l="0" t="0" r="0" b="0"/>
                <wp:docPr id="1820448000"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48000" name="Bilde 1820448000"/>
                        <pic:cNvPicPr/>
                      </pic:nvPicPr>
                      <pic:blipFill>
                        <a:blip r:embed="rId1">
                          <a:extLst>
                            <a:ext uri="{28A0092B-C50C-407E-A947-70E740481C1C}">
                              <a14:useLocalDpi xmlns:a14="http://schemas.microsoft.com/office/drawing/2010/main" val="0"/>
                            </a:ext>
                          </a:extLst>
                        </a:blip>
                        <a:stretch>
                          <a:fillRect/>
                        </a:stretch>
                      </pic:blipFill>
                      <pic:spPr>
                        <a:xfrm>
                          <a:off x="0" y="0"/>
                          <a:ext cx="2927744" cy="640095"/>
                        </a:xfrm>
                        <a:prstGeom prst="rect">
                          <a:avLst/>
                        </a:prstGeom>
                      </pic:spPr>
                    </pic:pic>
                  </a:graphicData>
                </a:graphic>
              </wp:inline>
            </w:drawing>
          </w:r>
        </w:p>
      </w:tc>
      <w:tc>
        <w:tcPr>
          <w:tcW w:w="284" w:type="dxa"/>
        </w:tcPr>
        <w:p w:rsidRPr="00532E63" w:rsidR="00532E63" w:rsidRDefault="00532E63" w14:paraId="1B8AA35E" w14:textId="77777777">
          <w:pPr>
            <w:pStyle w:val="Header"/>
            <w:rPr>
              <w:sz w:val="16"/>
              <w:szCs w:val="14"/>
            </w:rPr>
          </w:pPr>
        </w:p>
      </w:tc>
      <w:tc>
        <w:tcPr>
          <w:tcW w:w="1913" w:type="dxa"/>
        </w:tcPr>
        <w:p w:rsidRPr="00532E63" w:rsidR="00532E63" w:rsidRDefault="00532E63" w14:paraId="30A9FBFB" w14:textId="77777777">
          <w:pPr>
            <w:pStyle w:val="Header"/>
            <w:rPr>
              <w:sz w:val="16"/>
              <w:szCs w:val="14"/>
            </w:rPr>
          </w:pPr>
        </w:p>
      </w:tc>
      <w:tc>
        <w:tcPr>
          <w:tcW w:w="1914" w:type="dxa"/>
        </w:tcPr>
        <w:p w:rsidRPr="00F32AA7" w:rsidR="00532E63" w:rsidP="00F32AA7" w:rsidRDefault="00E9487D" w14:paraId="043493D2" w14:textId="77777777">
          <w:pPr>
            <w:pStyle w:val="Header"/>
            <w:tabs>
              <w:tab w:val="left" w:pos="8235"/>
            </w:tabs>
            <w:jc w:val="right"/>
            <w:rPr>
              <w:sz w:val="20"/>
              <w:szCs w:val="20"/>
            </w:rPr>
          </w:pPr>
          <w:r w:rsidRPr="00F32AA7">
            <w:rPr>
              <w:sz w:val="16"/>
              <w:szCs w:val="16"/>
            </w:rPr>
            <w:t>Side 1 av 2</w:t>
          </w:r>
        </w:p>
      </w:tc>
      <w:tc>
        <w:tcPr>
          <w:tcW w:w="283" w:type="dxa"/>
        </w:tcPr>
        <w:p w:rsidRPr="00532E63" w:rsidR="00532E63" w:rsidRDefault="00532E63" w14:paraId="70178546" w14:textId="77777777">
          <w:pPr>
            <w:pStyle w:val="Header"/>
            <w:rPr>
              <w:sz w:val="16"/>
              <w:szCs w:val="14"/>
            </w:rPr>
          </w:pPr>
        </w:p>
      </w:tc>
    </w:tr>
    <w:tr w:rsidR="00532E63" w:rsidTr="00EB759F" w14:paraId="61F0A323" w14:textId="77777777">
      <w:trPr>
        <w:trHeight w:val="227"/>
      </w:trPr>
      <w:tc>
        <w:tcPr>
          <w:tcW w:w="4678" w:type="dxa"/>
          <w:vMerge/>
        </w:tcPr>
        <w:p w:rsidR="00532E63" w:rsidRDefault="00532E63" w14:paraId="0A6B0899" w14:textId="77777777">
          <w:pPr>
            <w:pStyle w:val="Header"/>
            <w:rPr>
              <w:noProof/>
            </w:rPr>
          </w:pPr>
        </w:p>
      </w:tc>
      <w:tc>
        <w:tcPr>
          <w:tcW w:w="284" w:type="dxa"/>
        </w:tcPr>
        <w:p w:rsidRPr="00532E63" w:rsidR="00532E63" w:rsidRDefault="00532E63" w14:paraId="473594AC" w14:textId="77777777">
          <w:pPr>
            <w:pStyle w:val="Header"/>
            <w:rPr>
              <w:sz w:val="16"/>
              <w:szCs w:val="14"/>
            </w:rPr>
          </w:pPr>
        </w:p>
      </w:tc>
      <w:tc>
        <w:tcPr>
          <w:tcW w:w="1913" w:type="dxa"/>
        </w:tcPr>
        <w:p w:rsidRPr="00532E63" w:rsidR="00532E63" w:rsidRDefault="00532E63" w14:paraId="6D956213" w14:textId="77777777">
          <w:pPr>
            <w:pStyle w:val="Header"/>
            <w:rPr>
              <w:b/>
              <w:bCs/>
              <w:sz w:val="16"/>
              <w:szCs w:val="14"/>
            </w:rPr>
          </w:pPr>
          <w:r w:rsidRPr="00532E63">
            <w:rPr>
              <w:b/>
              <w:bCs/>
              <w:sz w:val="16"/>
              <w:szCs w:val="14"/>
            </w:rPr>
            <w:t>Dato</w:t>
          </w:r>
        </w:p>
      </w:tc>
      <w:tc>
        <w:tcPr>
          <w:tcW w:w="1914" w:type="dxa"/>
        </w:tcPr>
        <w:p w:rsidRPr="00532E63" w:rsidR="00532E63" w:rsidRDefault="00F668D1" w14:paraId="16E059B5" w14:textId="77777777">
          <w:pPr>
            <w:pStyle w:val="Header"/>
            <w:rPr>
              <w:b/>
              <w:bCs/>
              <w:sz w:val="16"/>
              <w:szCs w:val="14"/>
            </w:rPr>
          </w:pPr>
          <w:r>
            <w:rPr>
              <w:b/>
              <w:bCs/>
              <w:sz w:val="16"/>
              <w:szCs w:val="14"/>
            </w:rPr>
            <w:t>Referanse</w:t>
          </w:r>
        </w:p>
      </w:tc>
      <w:tc>
        <w:tcPr>
          <w:tcW w:w="283" w:type="dxa"/>
        </w:tcPr>
        <w:p w:rsidRPr="00532E63" w:rsidR="00532E63" w:rsidRDefault="00532E63" w14:paraId="37DE3053" w14:textId="77777777">
          <w:pPr>
            <w:pStyle w:val="Header"/>
            <w:rPr>
              <w:sz w:val="16"/>
              <w:szCs w:val="14"/>
            </w:rPr>
          </w:pPr>
        </w:p>
      </w:tc>
    </w:tr>
    <w:tr w:rsidR="00532E63" w:rsidTr="00EB759F" w14:paraId="38B0A2F1" w14:textId="77777777">
      <w:trPr>
        <w:trHeight w:val="227"/>
      </w:trPr>
      <w:tc>
        <w:tcPr>
          <w:tcW w:w="4678" w:type="dxa"/>
          <w:vMerge/>
        </w:tcPr>
        <w:p w:rsidR="00532E63" w:rsidRDefault="00532E63" w14:paraId="67AF5E63" w14:textId="77777777">
          <w:pPr>
            <w:pStyle w:val="Header"/>
            <w:rPr>
              <w:noProof/>
            </w:rPr>
          </w:pPr>
        </w:p>
      </w:tc>
      <w:tc>
        <w:tcPr>
          <w:tcW w:w="284" w:type="dxa"/>
        </w:tcPr>
        <w:p w:rsidRPr="00532E63" w:rsidR="00532E63" w:rsidRDefault="00532E63" w14:paraId="4DC4F2A7" w14:textId="77777777">
          <w:pPr>
            <w:pStyle w:val="Header"/>
            <w:rPr>
              <w:sz w:val="16"/>
              <w:szCs w:val="14"/>
            </w:rPr>
          </w:pPr>
        </w:p>
      </w:tc>
      <w:tc>
        <w:tcPr>
          <w:tcW w:w="1913" w:type="dxa"/>
        </w:tcPr>
        <w:p w:rsidRPr="009F4211" w:rsidR="00532E63" w:rsidRDefault="00532E63" w14:paraId="179DBFB8" w14:textId="77777777">
          <w:pPr>
            <w:pStyle w:val="Header"/>
            <w:rPr>
              <w:i/>
              <w:iCs/>
              <w:sz w:val="16"/>
              <w:szCs w:val="14"/>
            </w:rPr>
          </w:pPr>
        </w:p>
      </w:tc>
      <w:tc>
        <w:tcPr>
          <w:tcW w:w="1914" w:type="dxa"/>
        </w:tcPr>
        <w:p w:rsidRPr="009F4211" w:rsidR="00532E63" w:rsidRDefault="00532E63" w14:paraId="19D0C186" w14:textId="77777777">
          <w:pPr>
            <w:pStyle w:val="Header"/>
            <w:rPr>
              <w:i/>
              <w:iCs/>
              <w:sz w:val="16"/>
              <w:szCs w:val="14"/>
            </w:rPr>
          </w:pPr>
        </w:p>
      </w:tc>
      <w:tc>
        <w:tcPr>
          <w:tcW w:w="283" w:type="dxa"/>
        </w:tcPr>
        <w:p w:rsidRPr="00532E63" w:rsidR="00532E63" w:rsidRDefault="00532E63" w14:paraId="789CF6AF" w14:textId="77777777">
          <w:pPr>
            <w:pStyle w:val="Header"/>
            <w:rPr>
              <w:sz w:val="16"/>
              <w:szCs w:val="14"/>
            </w:rPr>
          </w:pPr>
        </w:p>
      </w:tc>
    </w:tr>
    <w:tr w:rsidR="00532E63" w:rsidTr="000078E2" w14:paraId="48730219" w14:textId="77777777">
      <w:trPr>
        <w:trHeight w:val="314"/>
      </w:trPr>
      <w:tc>
        <w:tcPr>
          <w:tcW w:w="4678" w:type="dxa"/>
          <w:vMerge/>
        </w:tcPr>
        <w:p w:rsidR="00532E63" w:rsidRDefault="00532E63" w14:paraId="6B67CBB1" w14:textId="77777777">
          <w:pPr>
            <w:pStyle w:val="Header"/>
            <w:rPr>
              <w:noProof/>
            </w:rPr>
          </w:pPr>
        </w:p>
      </w:tc>
      <w:tc>
        <w:tcPr>
          <w:tcW w:w="284" w:type="dxa"/>
        </w:tcPr>
        <w:p w:rsidRPr="00532E63" w:rsidR="00532E63" w:rsidRDefault="00532E63" w14:paraId="07FE44D5" w14:textId="77777777">
          <w:pPr>
            <w:pStyle w:val="Header"/>
            <w:rPr>
              <w:sz w:val="16"/>
              <w:szCs w:val="14"/>
            </w:rPr>
          </w:pPr>
        </w:p>
      </w:tc>
      <w:tc>
        <w:tcPr>
          <w:tcW w:w="1913" w:type="dxa"/>
        </w:tcPr>
        <w:p w:rsidRPr="009F4211" w:rsidR="00532E63" w:rsidRDefault="00532E63" w14:paraId="40A358D9" w14:textId="77777777">
          <w:pPr>
            <w:pStyle w:val="Header"/>
            <w:rPr>
              <w:i/>
              <w:iCs/>
              <w:sz w:val="16"/>
              <w:szCs w:val="14"/>
            </w:rPr>
          </w:pPr>
        </w:p>
      </w:tc>
      <w:tc>
        <w:tcPr>
          <w:tcW w:w="1914" w:type="dxa"/>
        </w:tcPr>
        <w:p w:rsidRPr="009F4211" w:rsidR="00532E63" w:rsidRDefault="00532E63" w14:paraId="559462E2" w14:textId="77777777">
          <w:pPr>
            <w:pStyle w:val="Header"/>
            <w:rPr>
              <w:i/>
              <w:iCs/>
              <w:sz w:val="16"/>
              <w:szCs w:val="14"/>
            </w:rPr>
          </w:pPr>
        </w:p>
      </w:tc>
      <w:tc>
        <w:tcPr>
          <w:tcW w:w="283" w:type="dxa"/>
        </w:tcPr>
        <w:p w:rsidRPr="00532E63" w:rsidR="00532E63" w:rsidRDefault="00532E63" w14:paraId="38A26114" w14:textId="77777777">
          <w:pPr>
            <w:pStyle w:val="Header"/>
            <w:rPr>
              <w:sz w:val="16"/>
              <w:szCs w:val="14"/>
            </w:rPr>
          </w:pPr>
        </w:p>
      </w:tc>
    </w:tr>
  </w:tbl>
  <w:p w:rsidR="00A011B9" w:rsidRDefault="00A011B9" w14:paraId="7F245E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16F7"/>
    <w:multiLevelType w:val="hybridMultilevel"/>
    <w:tmpl w:val="895AC5D0"/>
    <w:lvl w:ilvl="0" w:tplc="3724E56E">
      <w:start w:val="1"/>
      <w:numFmt w:val="decimal"/>
      <w:lvlText w:val="%1."/>
      <w:lvlJc w:val="left"/>
      <w:pPr>
        <w:ind w:left="460" w:hanging="320"/>
      </w:pPr>
      <w:rPr>
        <w:b/>
        <w:bCs/>
        <w:color w:val="E15A2B"/>
      </w:rPr>
    </w:lvl>
    <w:lvl w:ilvl="1" w:tplc="7172C4F0">
      <w:numFmt w:val="decimal"/>
      <w:lvlText w:val=""/>
      <w:lvlJc w:val="left"/>
    </w:lvl>
    <w:lvl w:ilvl="2" w:tplc="B0AA1030">
      <w:numFmt w:val="decimal"/>
      <w:lvlText w:val=""/>
      <w:lvlJc w:val="left"/>
    </w:lvl>
    <w:lvl w:ilvl="3" w:tplc="6574939A">
      <w:numFmt w:val="decimal"/>
      <w:lvlText w:val=""/>
      <w:lvlJc w:val="left"/>
    </w:lvl>
    <w:lvl w:ilvl="4" w:tplc="E230CD04">
      <w:numFmt w:val="decimal"/>
      <w:lvlText w:val=""/>
      <w:lvlJc w:val="left"/>
    </w:lvl>
    <w:lvl w:ilvl="5" w:tplc="BDE0DA94">
      <w:numFmt w:val="decimal"/>
      <w:lvlText w:val=""/>
      <w:lvlJc w:val="left"/>
    </w:lvl>
    <w:lvl w:ilvl="6" w:tplc="189EB2D4">
      <w:numFmt w:val="decimal"/>
      <w:lvlText w:val=""/>
      <w:lvlJc w:val="left"/>
    </w:lvl>
    <w:lvl w:ilvl="7" w:tplc="0B3425EA">
      <w:numFmt w:val="decimal"/>
      <w:lvlText w:val=""/>
      <w:lvlJc w:val="left"/>
    </w:lvl>
    <w:lvl w:ilvl="8" w:tplc="F5C87C06">
      <w:numFmt w:val="decimal"/>
      <w:lvlText w:val=""/>
      <w:lvlJc w:val="left"/>
    </w:lvl>
  </w:abstractNum>
  <w:num w:numId="1" w16cid:durableId="1274020698">
    <w:abstractNumId w:val="0"/>
    <w:lvlOverride w:ilvl="0">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C6"/>
    <w:rsid w:val="000078E2"/>
    <w:rsid w:val="00027F15"/>
    <w:rsid w:val="000400A5"/>
    <w:rsid w:val="00061296"/>
    <w:rsid w:val="00071CE4"/>
    <w:rsid w:val="00087903"/>
    <w:rsid w:val="00090A89"/>
    <w:rsid w:val="000D499B"/>
    <w:rsid w:val="000E24EA"/>
    <w:rsid w:val="000E28D0"/>
    <w:rsid w:val="000E6BE0"/>
    <w:rsid w:val="000E6E1A"/>
    <w:rsid w:val="00101618"/>
    <w:rsid w:val="001557B0"/>
    <w:rsid w:val="00163CFE"/>
    <w:rsid w:val="001738BA"/>
    <w:rsid w:val="00185401"/>
    <w:rsid w:val="00186C91"/>
    <w:rsid w:val="001A6291"/>
    <w:rsid w:val="001B5354"/>
    <w:rsid w:val="001B779C"/>
    <w:rsid w:val="001C0CD6"/>
    <w:rsid w:val="001D0085"/>
    <w:rsid w:val="001D029E"/>
    <w:rsid w:val="001D3ED3"/>
    <w:rsid w:val="001D7CC1"/>
    <w:rsid w:val="001E675E"/>
    <w:rsid w:val="00212128"/>
    <w:rsid w:val="00215DC7"/>
    <w:rsid w:val="00226622"/>
    <w:rsid w:val="0023736A"/>
    <w:rsid w:val="00253877"/>
    <w:rsid w:val="00256C52"/>
    <w:rsid w:val="002660E7"/>
    <w:rsid w:val="00273F0B"/>
    <w:rsid w:val="002D064C"/>
    <w:rsid w:val="002D0A6C"/>
    <w:rsid w:val="002D3781"/>
    <w:rsid w:val="002E4DC6"/>
    <w:rsid w:val="002F0D8C"/>
    <w:rsid w:val="0031623D"/>
    <w:rsid w:val="003239D6"/>
    <w:rsid w:val="00323A48"/>
    <w:rsid w:val="00326081"/>
    <w:rsid w:val="003261C1"/>
    <w:rsid w:val="00327AE4"/>
    <w:rsid w:val="003312C7"/>
    <w:rsid w:val="0034175B"/>
    <w:rsid w:val="00350178"/>
    <w:rsid w:val="0035396B"/>
    <w:rsid w:val="00372CDC"/>
    <w:rsid w:val="00374845"/>
    <w:rsid w:val="00381B8E"/>
    <w:rsid w:val="003A34C7"/>
    <w:rsid w:val="003D063E"/>
    <w:rsid w:val="003F111E"/>
    <w:rsid w:val="00404A5E"/>
    <w:rsid w:val="0041621E"/>
    <w:rsid w:val="00422661"/>
    <w:rsid w:val="00424908"/>
    <w:rsid w:val="00435F3A"/>
    <w:rsid w:val="00443AC6"/>
    <w:rsid w:val="00450763"/>
    <w:rsid w:val="00471C29"/>
    <w:rsid w:val="00477F20"/>
    <w:rsid w:val="00485F7D"/>
    <w:rsid w:val="004957E1"/>
    <w:rsid w:val="00497D01"/>
    <w:rsid w:val="004C0634"/>
    <w:rsid w:val="004D0DE6"/>
    <w:rsid w:val="005000D4"/>
    <w:rsid w:val="00512B95"/>
    <w:rsid w:val="00521E91"/>
    <w:rsid w:val="005302F7"/>
    <w:rsid w:val="00532E63"/>
    <w:rsid w:val="005335BC"/>
    <w:rsid w:val="00561F0C"/>
    <w:rsid w:val="005711F5"/>
    <w:rsid w:val="005753A4"/>
    <w:rsid w:val="00580217"/>
    <w:rsid w:val="005841E6"/>
    <w:rsid w:val="005C0E82"/>
    <w:rsid w:val="005D5106"/>
    <w:rsid w:val="006152DC"/>
    <w:rsid w:val="00622072"/>
    <w:rsid w:val="00632265"/>
    <w:rsid w:val="00657797"/>
    <w:rsid w:val="00684163"/>
    <w:rsid w:val="006A7EEF"/>
    <w:rsid w:val="006B27AB"/>
    <w:rsid w:val="006C0AD1"/>
    <w:rsid w:val="006C3021"/>
    <w:rsid w:val="006C6AA6"/>
    <w:rsid w:val="006E6498"/>
    <w:rsid w:val="007044C0"/>
    <w:rsid w:val="00733B44"/>
    <w:rsid w:val="00743F0A"/>
    <w:rsid w:val="0077002F"/>
    <w:rsid w:val="00777BB1"/>
    <w:rsid w:val="0078074C"/>
    <w:rsid w:val="007A2BB8"/>
    <w:rsid w:val="007A35A5"/>
    <w:rsid w:val="007D590C"/>
    <w:rsid w:val="007F72ED"/>
    <w:rsid w:val="007F7830"/>
    <w:rsid w:val="00802566"/>
    <w:rsid w:val="00815B80"/>
    <w:rsid w:val="008413B6"/>
    <w:rsid w:val="008503CB"/>
    <w:rsid w:val="008567F1"/>
    <w:rsid w:val="008622F2"/>
    <w:rsid w:val="00897A4B"/>
    <w:rsid w:val="008A3036"/>
    <w:rsid w:val="008B5A62"/>
    <w:rsid w:val="008F317D"/>
    <w:rsid w:val="00901DBC"/>
    <w:rsid w:val="009108D2"/>
    <w:rsid w:val="00921508"/>
    <w:rsid w:val="00950E29"/>
    <w:rsid w:val="00952BDD"/>
    <w:rsid w:val="00963C62"/>
    <w:rsid w:val="0097792B"/>
    <w:rsid w:val="009841A3"/>
    <w:rsid w:val="009B6B48"/>
    <w:rsid w:val="009B771E"/>
    <w:rsid w:val="009D3B9C"/>
    <w:rsid w:val="009E05F5"/>
    <w:rsid w:val="009E790D"/>
    <w:rsid w:val="009F4211"/>
    <w:rsid w:val="00A011B9"/>
    <w:rsid w:val="00A03A20"/>
    <w:rsid w:val="00A277DC"/>
    <w:rsid w:val="00A30DF9"/>
    <w:rsid w:val="00A43D77"/>
    <w:rsid w:val="00A4498B"/>
    <w:rsid w:val="00A51844"/>
    <w:rsid w:val="00A66205"/>
    <w:rsid w:val="00AA2D1D"/>
    <w:rsid w:val="00AB56CE"/>
    <w:rsid w:val="00AC11F6"/>
    <w:rsid w:val="00AC5D06"/>
    <w:rsid w:val="00AD1774"/>
    <w:rsid w:val="00B029B5"/>
    <w:rsid w:val="00B22F23"/>
    <w:rsid w:val="00B40A5A"/>
    <w:rsid w:val="00B555D5"/>
    <w:rsid w:val="00B63FB0"/>
    <w:rsid w:val="00B64978"/>
    <w:rsid w:val="00B67EC4"/>
    <w:rsid w:val="00B70F3A"/>
    <w:rsid w:val="00B75D13"/>
    <w:rsid w:val="00B90C5A"/>
    <w:rsid w:val="00BA5572"/>
    <w:rsid w:val="00BC0174"/>
    <w:rsid w:val="00BC5281"/>
    <w:rsid w:val="00BE11C6"/>
    <w:rsid w:val="00C00AAA"/>
    <w:rsid w:val="00C049BB"/>
    <w:rsid w:val="00C23869"/>
    <w:rsid w:val="00C274B8"/>
    <w:rsid w:val="00C576FB"/>
    <w:rsid w:val="00C64E28"/>
    <w:rsid w:val="00C656E7"/>
    <w:rsid w:val="00C668B8"/>
    <w:rsid w:val="00CA31A0"/>
    <w:rsid w:val="00CB460C"/>
    <w:rsid w:val="00CD46A4"/>
    <w:rsid w:val="00CD5FB9"/>
    <w:rsid w:val="00CE1041"/>
    <w:rsid w:val="00D01D10"/>
    <w:rsid w:val="00D047DC"/>
    <w:rsid w:val="00D36A45"/>
    <w:rsid w:val="00D8414D"/>
    <w:rsid w:val="00D97CCE"/>
    <w:rsid w:val="00DA00C3"/>
    <w:rsid w:val="00DB306D"/>
    <w:rsid w:val="00DD609B"/>
    <w:rsid w:val="00DF20BF"/>
    <w:rsid w:val="00E40B17"/>
    <w:rsid w:val="00E506A4"/>
    <w:rsid w:val="00E7028B"/>
    <w:rsid w:val="00E733F2"/>
    <w:rsid w:val="00E73759"/>
    <w:rsid w:val="00E84151"/>
    <w:rsid w:val="00E86654"/>
    <w:rsid w:val="00E935DE"/>
    <w:rsid w:val="00E9487D"/>
    <w:rsid w:val="00EA7AB9"/>
    <w:rsid w:val="00EB21CD"/>
    <w:rsid w:val="00EB759F"/>
    <w:rsid w:val="00EC0D16"/>
    <w:rsid w:val="00EC53EB"/>
    <w:rsid w:val="00EC633A"/>
    <w:rsid w:val="00F031CC"/>
    <w:rsid w:val="00F15670"/>
    <w:rsid w:val="00F16BD8"/>
    <w:rsid w:val="00F32AA7"/>
    <w:rsid w:val="00F374F1"/>
    <w:rsid w:val="00F54722"/>
    <w:rsid w:val="00F54F71"/>
    <w:rsid w:val="00F668D1"/>
    <w:rsid w:val="00F715D6"/>
    <w:rsid w:val="00F7476D"/>
    <w:rsid w:val="00F77938"/>
    <w:rsid w:val="00F86413"/>
    <w:rsid w:val="00FB0BA8"/>
    <w:rsid w:val="00FC4F58"/>
    <w:rsid w:val="00FC7584"/>
    <w:rsid w:val="00FE1FE6"/>
    <w:rsid w:val="02172A74"/>
    <w:rsid w:val="033052CD"/>
    <w:rsid w:val="03C23C03"/>
    <w:rsid w:val="0400E8C4"/>
    <w:rsid w:val="049992D8"/>
    <w:rsid w:val="074CED9F"/>
    <w:rsid w:val="07A207FB"/>
    <w:rsid w:val="0E565D34"/>
    <w:rsid w:val="0E66DA7D"/>
    <w:rsid w:val="10BE0286"/>
    <w:rsid w:val="140BC971"/>
    <w:rsid w:val="176FF52E"/>
    <w:rsid w:val="1DF958D4"/>
    <w:rsid w:val="1E16F986"/>
    <w:rsid w:val="1F5C22F0"/>
    <w:rsid w:val="21AFF082"/>
    <w:rsid w:val="22FF3F52"/>
    <w:rsid w:val="264D57CE"/>
    <w:rsid w:val="2869F6D6"/>
    <w:rsid w:val="28D6FE77"/>
    <w:rsid w:val="2DEA7D5C"/>
    <w:rsid w:val="2F4126B1"/>
    <w:rsid w:val="34E9E49B"/>
    <w:rsid w:val="35EDE4B1"/>
    <w:rsid w:val="3801CD61"/>
    <w:rsid w:val="3C02D724"/>
    <w:rsid w:val="3C467206"/>
    <w:rsid w:val="3EF8A913"/>
    <w:rsid w:val="4607192B"/>
    <w:rsid w:val="4A2FF1FC"/>
    <w:rsid w:val="4B9F859F"/>
    <w:rsid w:val="4DAA3909"/>
    <w:rsid w:val="4FE77DE8"/>
    <w:rsid w:val="52908DB8"/>
    <w:rsid w:val="532C6D95"/>
    <w:rsid w:val="589E94EE"/>
    <w:rsid w:val="5BA49453"/>
    <w:rsid w:val="5D78BE6B"/>
    <w:rsid w:val="5F326015"/>
    <w:rsid w:val="60380221"/>
    <w:rsid w:val="63E7962A"/>
    <w:rsid w:val="6575548C"/>
    <w:rsid w:val="6A538176"/>
    <w:rsid w:val="6B4B97F9"/>
    <w:rsid w:val="6DFE407E"/>
    <w:rsid w:val="6EC26102"/>
    <w:rsid w:val="72DC2B74"/>
    <w:rsid w:val="74843A9E"/>
    <w:rsid w:val="75683177"/>
    <w:rsid w:val="766057E4"/>
    <w:rsid w:val="790004AD"/>
    <w:rsid w:val="7B3F142F"/>
    <w:rsid w:val="7FBD246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24B77"/>
  <w15:chartTrackingRefBased/>
  <w15:docId w15:val="{9BEBE318-E652-442A-9F9E-9822885441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0A89"/>
    <w:pPr>
      <w:spacing w:after="0" w:line="240" w:lineRule="auto"/>
    </w:pPr>
    <w:rPr>
      <w:sz w:val="24"/>
    </w:rPr>
  </w:style>
  <w:style w:type="paragraph" w:styleId="Heading1">
    <w:name w:val="heading 1"/>
    <w:basedOn w:val="Normal"/>
    <w:next w:val="Normal"/>
    <w:link w:val="Heading1Char"/>
    <w:uiPriority w:val="9"/>
    <w:qFormat/>
    <w:rsid w:val="00090A89"/>
    <w:pPr>
      <w:keepNext/>
      <w:keepLines/>
      <w:spacing w:before="240"/>
      <w:outlineLvl w:val="0"/>
    </w:pPr>
    <w:rPr>
      <w:rFonts w:asciiTheme="majorHAnsi" w:hAnsiTheme="majorHAnsi" w:eastAsiaTheme="majorEastAsia" w:cstheme="majorBidi"/>
      <w:color w:val="002669" w:themeColor="accent1" w:themeShade="BF"/>
      <w:sz w:val="32"/>
      <w:szCs w:val="32"/>
    </w:rPr>
  </w:style>
  <w:style w:type="paragraph" w:styleId="Heading2">
    <w:name w:val="heading 2"/>
    <w:basedOn w:val="Normal"/>
    <w:next w:val="Normal"/>
    <w:link w:val="Heading2Char"/>
    <w:uiPriority w:val="9"/>
    <w:unhideWhenUsed/>
    <w:qFormat/>
    <w:rsid w:val="00090A89"/>
    <w:pPr>
      <w:keepNext/>
      <w:keepLines/>
      <w:spacing w:before="40"/>
      <w:outlineLvl w:val="1"/>
    </w:pPr>
    <w:rPr>
      <w:rFonts w:asciiTheme="majorHAnsi" w:hAnsiTheme="majorHAnsi" w:eastAsiaTheme="majorEastAsia" w:cstheme="majorBidi"/>
      <w:color w:val="002669" w:themeColor="accent1" w:themeShade="BF"/>
      <w:sz w:val="26"/>
      <w:szCs w:val="26"/>
    </w:rPr>
  </w:style>
  <w:style w:type="paragraph" w:styleId="Heading3">
    <w:name w:val="heading 3"/>
    <w:basedOn w:val="Normal"/>
    <w:next w:val="Normal"/>
    <w:link w:val="Heading3Char"/>
    <w:uiPriority w:val="9"/>
    <w:unhideWhenUsed/>
    <w:qFormat/>
    <w:rsid w:val="00090A89"/>
    <w:pPr>
      <w:keepNext/>
      <w:keepLines/>
      <w:spacing w:before="40"/>
      <w:outlineLvl w:val="2"/>
    </w:pPr>
    <w:rPr>
      <w:rFonts w:asciiTheme="majorHAnsi" w:hAnsiTheme="majorHAnsi" w:eastAsiaTheme="majorEastAsia" w:cstheme="majorBidi"/>
      <w:color w:val="001946" w:themeColor="accent1" w:themeShade="7F"/>
      <w:szCs w:val="24"/>
    </w:rPr>
  </w:style>
  <w:style w:type="paragraph" w:styleId="Heading4">
    <w:name w:val="heading 4"/>
    <w:basedOn w:val="Normal"/>
    <w:next w:val="Normal"/>
    <w:link w:val="Heading4Char"/>
    <w:uiPriority w:val="9"/>
    <w:unhideWhenUsed/>
    <w:qFormat/>
    <w:rsid w:val="00090A89"/>
    <w:pPr>
      <w:keepNext/>
      <w:keepLines/>
      <w:spacing w:before="40"/>
      <w:outlineLvl w:val="3"/>
    </w:pPr>
    <w:rPr>
      <w:rFonts w:asciiTheme="majorHAnsi" w:hAnsiTheme="majorHAnsi" w:eastAsiaTheme="majorEastAsia" w:cstheme="majorBidi"/>
      <w:i/>
      <w:iCs/>
      <w:color w:val="002669"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ykehusbygg" w:customStyle="1">
    <w:name w:val="Sykehusbygg"/>
    <w:link w:val="SykehusbyggTegn"/>
    <w:qFormat/>
    <w:rsid w:val="00090A89"/>
    <w:pPr>
      <w:spacing w:after="120" w:line="240" w:lineRule="auto"/>
    </w:pPr>
  </w:style>
  <w:style w:type="character" w:styleId="SykehusbyggTegn" w:customStyle="1">
    <w:name w:val="Sykehusbygg Tegn"/>
    <w:basedOn w:val="DefaultParagraphFont"/>
    <w:link w:val="Sykehusbygg"/>
    <w:rsid w:val="00090A89"/>
  </w:style>
  <w:style w:type="paragraph" w:styleId="Header">
    <w:name w:val="header"/>
    <w:basedOn w:val="Normal"/>
    <w:link w:val="HeaderChar"/>
    <w:uiPriority w:val="99"/>
    <w:unhideWhenUsed/>
    <w:rsid w:val="00A011B9"/>
    <w:pPr>
      <w:tabs>
        <w:tab w:val="center" w:pos="4536"/>
        <w:tab w:val="right" w:pos="9072"/>
      </w:tabs>
    </w:pPr>
  </w:style>
  <w:style w:type="character" w:styleId="HeaderChar" w:customStyle="1">
    <w:name w:val="Header Char"/>
    <w:basedOn w:val="DefaultParagraphFont"/>
    <w:link w:val="Header"/>
    <w:uiPriority w:val="99"/>
    <w:rsid w:val="00A011B9"/>
  </w:style>
  <w:style w:type="paragraph" w:styleId="Footer">
    <w:name w:val="footer"/>
    <w:basedOn w:val="Normal"/>
    <w:link w:val="FooterChar"/>
    <w:uiPriority w:val="99"/>
    <w:unhideWhenUsed/>
    <w:rsid w:val="00A011B9"/>
    <w:pPr>
      <w:tabs>
        <w:tab w:val="center" w:pos="4536"/>
        <w:tab w:val="right" w:pos="9072"/>
      </w:tabs>
    </w:pPr>
  </w:style>
  <w:style w:type="character" w:styleId="FooterChar" w:customStyle="1">
    <w:name w:val="Footer Char"/>
    <w:basedOn w:val="DefaultParagraphFont"/>
    <w:link w:val="Footer"/>
    <w:uiPriority w:val="99"/>
    <w:rsid w:val="00A011B9"/>
  </w:style>
  <w:style w:type="table" w:styleId="TableGrid">
    <w:name w:val="Table Grid"/>
    <w:basedOn w:val="TableNormal"/>
    <w:uiPriority w:val="59"/>
    <w:rsid w:val="00A011B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090A89"/>
    <w:pPr>
      <w:spacing w:after="0" w:line="240" w:lineRule="auto"/>
    </w:pPr>
    <w:rPr>
      <w:sz w:val="24"/>
    </w:rPr>
  </w:style>
  <w:style w:type="character" w:styleId="Heading1Char" w:customStyle="1">
    <w:name w:val="Heading 1 Char"/>
    <w:basedOn w:val="DefaultParagraphFont"/>
    <w:link w:val="Heading1"/>
    <w:uiPriority w:val="9"/>
    <w:rsid w:val="00090A89"/>
    <w:rPr>
      <w:rFonts w:asciiTheme="majorHAnsi" w:hAnsiTheme="majorHAnsi" w:eastAsiaTheme="majorEastAsia" w:cstheme="majorBidi"/>
      <w:color w:val="002669" w:themeColor="accent1" w:themeShade="BF"/>
      <w:sz w:val="32"/>
      <w:szCs w:val="32"/>
    </w:rPr>
  </w:style>
  <w:style w:type="character" w:styleId="Heading2Char" w:customStyle="1">
    <w:name w:val="Heading 2 Char"/>
    <w:basedOn w:val="DefaultParagraphFont"/>
    <w:link w:val="Heading2"/>
    <w:uiPriority w:val="9"/>
    <w:rsid w:val="00090A89"/>
    <w:rPr>
      <w:rFonts w:asciiTheme="majorHAnsi" w:hAnsiTheme="majorHAnsi" w:eastAsiaTheme="majorEastAsia" w:cstheme="majorBidi"/>
      <w:color w:val="002669" w:themeColor="accent1" w:themeShade="BF"/>
      <w:sz w:val="26"/>
      <w:szCs w:val="26"/>
    </w:rPr>
  </w:style>
  <w:style w:type="character" w:styleId="Heading3Char" w:customStyle="1">
    <w:name w:val="Heading 3 Char"/>
    <w:basedOn w:val="DefaultParagraphFont"/>
    <w:link w:val="Heading3"/>
    <w:uiPriority w:val="9"/>
    <w:rsid w:val="00090A89"/>
    <w:rPr>
      <w:rFonts w:asciiTheme="majorHAnsi" w:hAnsiTheme="majorHAnsi" w:eastAsiaTheme="majorEastAsia" w:cstheme="majorBidi"/>
      <w:color w:val="001946" w:themeColor="accent1" w:themeShade="7F"/>
      <w:sz w:val="24"/>
      <w:szCs w:val="24"/>
    </w:rPr>
  </w:style>
  <w:style w:type="character" w:styleId="Heading4Char" w:customStyle="1">
    <w:name w:val="Heading 4 Char"/>
    <w:basedOn w:val="DefaultParagraphFont"/>
    <w:link w:val="Heading4"/>
    <w:uiPriority w:val="9"/>
    <w:rsid w:val="00090A89"/>
    <w:rPr>
      <w:rFonts w:asciiTheme="majorHAnsi" w:hAnsiTheme="majorHAnsi" w:eastAsiaTheme="majorEastAsia" w:cstheme="majorBidi"/>
      <w:i/>
      <w:iCs/>
      <w:color w:val="002669" w:themeColor="accent1" w:themeShade="BF"/>
      <w:sz w:val="24"/>
    </w:rPr>
  </w:style>
  <w:style w:type="character" w:styleId="Hyperlink">
    <w:name w:val="Hyperlink"/>
    <w:uiPriority w:val="99"/>
    <w:unhideWhenUsed/>
    <w:rsid w:val="002E4DC6"/>
    <w:rPr>
      <w:color w:val="0563C1"/>
      <w:u w:val="single"/>
    </w:rPr>
  </w:style>
  <w:style w:type="character" w:styleId="FootnoteReference">
    <w:name w:val="footnote reference"/>
    <w:uiPriority w:val="99"/>
    <w:semiHidden/>
    <w:unhideWhenUsed/>
    <w:rsid w:val="002E4DC6"/>
    <w:rPr>
      <w:vertAlign w:val="superscript"/>
    </w:rPr>
  </w:style>
  <w:style w:type="character" w:styleId="FollowedHyperlink">
    <w:name w:val="FollowedHyperlink"/>
    <w:basedOn w:val="DefaultParagraphFont"/>
    <w:uiPriority w:val="99"/>
    <w:semiHidden/>
    <w:unhideWhenUsed/>
    <w:rsid w:val="00B90C5A"/>
    <w:rPr>
      <w:color w:val="954F72" w:themeColor="followedHyperlink"/>
      <w:u w:val="single"/>
    </w:rPr>
  </w:style>
  <w:style w:type="paragraph" w:styleId="ListParagraph">
    <w:name w:val="List Paragraph"/>
    <w:qFormat/>
    <w:rsid w:val="00BC5281"/>
    <w:pPr>
      <w:spacing w:after="0" w:line="240" w:lineRule="auto"/>
    </w:pPr>
    <w:rPr>
      <w:rFonts w:ascii="Calibri" w:hAnsi="Calibri" w:eastAsia="Calibri" w:cs="Calibri"/>
      <w:color w:val="222222"/>
      <w:kern w:val="0"/>
      <w:sz w:val="21"/>
      <w:szCs w:val="21"/>
      <w:lang w:eastAsia="nb-NO"/>
      <w14:ligatures w14:val="none"/>
    </w:rPr>
  </w:style>
  <w:style w:type="character" w:styleId="UnresolvedMention">
    <w:name w:val="Unresolved Mention"/>
    <w:basedOn w:val="DefaultParagraphFont"/>
    <w:uiPriority w:val="99"/>
    <w:semiHidden/>
    <w:unhideWhenUsed/>
    <w:rsid w:val="000D499B"/>
    <w:rPr>
      <w:color w:val="605E5C"/>
      <w:shd w:val="clear" w:color="auto" w:fill="E1DFDD"/>
    </w:rPr>
  </w:style>
  <w:style w:type="character" w:styleId="CommentReference">
    <w:name w:val="Comment Reference"/>
    <w:basedOn w:val="DefaultParagraphFont"/>
    <w:uiPriority w:val="99"/>
    <w:semiHidden/>
    <w:unhideWhenUsed/>
    <w:rsid w:val="00477F20"/>
    <w:rPr>
      <w:sz w:val="16"/>
      <w:szCs w:val="16"/>
    </w:rPr>
  </w:style>
  <w:style w:type="paragraph" w:styleId="CommentText">
    <w:name w:val="Comment Text"/>
    <w:basedOn w:val="Normal"/>
    <w:link w:val="CommentTextChar"/>
    <w:uiPriority w:val="99"/>
    <w:unhideWhenUsed/>
    <w:rsid w:val="00477F20"/>
    <w:pPr>
      <w:spacing w:after="120"/>
    </w:pPr>
    <w:rPr>
      <w:rFonts w:ascii="Times New Roman" w:hAnsi="Times New Roman" w:eastAsiaTheme="minorEastAsia"/>
      <w:kern w:val="0"/>
      <w:sz w:val="20"/>
      <w:szCs w:val="20"/>
      <w:lang w:val="en-US"/>
      <w14:ligatures w14:val="none"/>
    </w:rPr>
  </w:style>
  <w:style w:type="character" w:styleId="CommentTextChar" w:customStyle="1">
    <w:name w:val="Comment Text Char"/>
    <w:basedOn w:val="DefaultParagraphFont"/>
    <w:link w:val="CommentText"/>
    <w:uiPriority w:val="99"/>
    <w:rsid w:val="00477F20"/>
    <w:rPr>
      <w:rFonts w:ascii="Times New Roman" w:hAnsi="Times New Roman" w:eastAsiaTheme="minorEastAsia"/>
      <w:kern w:val="0"/>
      <w:sz w:val="20"/>
      <w:szCs w:val="20"/>
      <w:lang w:val="en-US"/>
      <w14:ligatures w14:val="none"/>
    </w:rPr>
  </w:style>
  <w:style w:type="paragraph" w:styleId="Subtitle">
    <w:name w:val="Subtitle"/>
    <w:basedOn w:val="Normal"/>
    <w:next w:val="Normal"/>
    <w:link w:val="SubtitleChar"/>
    <w:uiPriority w:val="11"/>
    <w:qFormat/>
    <w:rsid w:val="00326081"/>
    <w:pPr>
      <w:numPr>
        <w:ilvl w:val="1"/>
      </w:numPr>
      <w:spacing w:after="160"/>
    </w:pPr>
    <w:rPr>
      <w:rFonts w:eastAsiaTheme="minorEastAsia"/>
      <w:color w:val="5A5A5A" w:themeColor="text1" w:themeTint="A5"/>
      <w:spacing w:val="15"/>
      <w:sz w:val="22"/>
    </w:rPr>
  </w:style>
  <w:style w:type="character" w:styleId="SubtitleChar" w:customStyle="1">
    <w:name w:val="Subtitle Char"/>
    <w:basedOn w:val="DefaultParagraphFont"/>
    <w:link w:val="Subtitle"/>
    <w:uiPriority w:val="11"/>
    <w:rsid w:val="0032608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brikbase.org/sites/default/files/chd_hcl_wp4_nursing_impact.pdf" TargetMode="External" Id="rId14" /><Relationship Type="http://schemas.microsoft.com/office/2011/relationships/people" Target="people.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ykehusbygg.sharepoint.com/sites/Kommunikasjon/Officemaler%20for%20Sykehusbygg/Notat.dotx" TargetMode="External"/></Relationships>
</file>

<file path=word/theme/theme1.xml><?xml version="1.0" encoding="utf-8"?>
<a:theme xmlns:a="http://schemas.openxmlformats.org/drawingml/2006/main" xmlns:thm15="http://schemas.microsoft.com/office/thememl/2012/main" name="Sykehsubygg Calibri">
  <a:themeElements>
    <a:clrScheme name="Sykehusbygg">
      <a:dk1>
        <a:sysClr val="windowText" lastClr="000000"/>
      </a:dk1>
      <a:lt1>
        <a:sysClr val="window" lastClr="FFFFFF"/>
      </a:lt1>
      <a:dk2>
        <a:srgbClr val="44546A"/>
      </a:dk2>
      <a:lt2>
        <a:srgbClr val="DBDBDB"/>
      </a:lt2>
      <a:accent1>
        <a:srgbClr val="00338D"/>
      </a:accent1>
      <a:accent2>
        <a:srgbClr val="7AB2DC"/>
      </a:accent2>
      <a:accent3>
        <a:srgbClr val="131857"/>
      </a:accent3>
      <a:accent4>
        <a:srgbClr val="FFE2D1"/>
      </a:accent4>
      <a:accent5>
        <a:srgbClr val="005248"/>
      </a:accent5>
      <a:accent6>
        <a:srgbClr val="FFEC00"/>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fae79eb-ad06-4856-988c-af557530560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0899E4E8D1A9743819E7D15A1E807FA" ma:contentTypeVersion="6" ma:contentTypeDescription="Opprett et nytt dokument." ma:contentTypeScope="" ma:versionID="f208b75e1cf43dd9d7a5056952e7e089">
  <xsd:schema xmlns:xsd="http://www.w3.org/2001/XMLSchema" xmlns:xs="http://www.w3.org/2001/XMLSchema" xmlns:p="http://schemas.microsoft.com/office/2006/metadata/properties" xmlns:ns2="f8033455-44b3-47af-8c39-227c0cb6868c" xmlns:ns3="5fae79eb-ad06-4856-988c-af5575305605" targetNamespace="http://schemas.microsoft.com/office/2006/metadata/properties" ma:root="true" ma:fieldsID="c543fbdc41887e970b36a1ffde247faa" ns2:_="" ns3:_="">
    <xsd:import namespace="f8033455-44b3-47af-8c39-227c0cb6868c"/>
    <xsd:import namespace="5fae79eb-ad06-4856-988c-af557530560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33455-44b3-47af-8c39-227c0cb68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e79eb-ad06-4856-988c-af5575305605"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1F4380-A478-4E1D-A49A-93B2071A3A78}">
  <ds:schemaRefs>
    <ds:schemaRef ds:uri="http://schemas.microsoft.com/office/2006/metadata/properties"/>
    <ds:schemaRef ds:uri="http://schemas.microsoft.com/office/infopath/2007/PartnerControls"/>
    <ds:schemaRef ds:uri="5fae79eb-ad06-4856-988c-af5575305605"/>
  </ds:schemaRefs>
</ds:datastoreItem>
</file>

<file path=customXml/itemProps2.xml><?xml version="1.0" encoding="utf-8"?>
<ds:datastoreItem xmlns:ds="http://schemas.openxmlformats.org/officeDocument/2006/customXml" ds:itemID="{FC4BD9B8-83D5-4A7F-8F75-3614604C8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33455-44b3-47af-8c39-227c0cb6868c"/>
    <ds:schemaRef ds:uri="5fae79eb-ad06-4856-988c-af557530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743F1-B3E6-4C3B-A1FF-A98C3F6149E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Notat.dotx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Kvål, Eva</dc:creator>
  <keywords/>
  <dc:description/>
  <lastModifiedBy>Kvål, Eva</lastModifiedBy>
  <revision>107</revision>
  <lastPrinted>2024-01-25T23:38:00.0000000Z</lastPrinted>
  <dcterms:created xsi:type="dcterms:W3CDTF">2026-07-02T18:35:00.0000000Z</dcterms:created>
  <dcterms:modified xsi:type="dcterms:W3CDTF">2026-08-05T19:22:01.0219429Z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0x01010090899E4E8D1A9743819E7D15A1E807FA</vt:lpwstr>
  </property>
  <property fmtid="{D5CDD505-2E9C-101B-9397-08002B2CF9AE}" pid="3" name="MediaServiceImageTags">
    <vt:lpwstr/>
  </property>
  <property fmtid="{D5CDD505-2E9C-101B-9397-08002B2CF9AE}" pid="4" name="Order">
    <vt:r8>251600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