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E4A26" w14:textId="77777777" w:rsidR="00707FEB" w:rsidRDefault="00851387">
      <w:pPr>
        <w:spacing w:after="180" w:line="259" w:lineRule="auto"/>
        <w:ind w:left="0" w:firstLine="0"/>
      </w:pPr>
      <w:r>
        <w:rPr>
          <w:rFonts w:ascii="Times New Roman" w:eastAsia="Times New Roman" w:hAnsi="Times New Roman" w:cs="Times New Roman"/>
        </w:rPr>
        <w:t xml:space="preserve">___________________________________________________________________________ </w:t>
      </w:r>
    </w:p>
    <w:p w14:paraId="025F8613" w14:textId="4894084A" w:rsidR="00707FEB" w:rsidRDefault="00851387">
      <w:pPr>
        <w:spacing w:after="186"/>
        <w:ind w:right="876"/>
      </w:pPr>
      <w:r>
        <w:t>Til: Helse</w:t>
      </w:r>
      <w:r w:rsidR="008E3527">
        <w:t>reformutvalget</w:t>
      </w:r>
    </w:p>
    <w:p w14:paraId="25A73A74" w14:textId="720EDF17" w:rsidR="00707FEB" w:rsidRDefault="00851387">
      <w:pPr>
        <w:spacing w:after="184"/>
        <w:ind w:right="876"/>
      </w:pPr>
      <w:r>
        <w:t xml:space="preserve">Fra: Legeforeningen </w:t>
      </w:r>
    </w:p>
    <w:p w14:paraId="60BF5B47" w14:textId="77777777" w:rsidR="008E3527" w:rsidRDefault="00851387" w:rsidP="008E3527">
      <w:pPr>
        <w:spacing w:after="184"/>
        <w:ind w:right="876"/>
        <w:rPr>
          <w:rFonts w:ascii="Times New Roman" w:eastAsia="Times New Roman" w:hAnsi="Times New Roman" w:cs="Times New Roman"/>
          <w:sz w:val="20"/>
        </w:rPr>
      </w:pPr>
      <w:r>
        <w:t>Dato: 2</w:t>
      </w:r>
      <w:r w:rsidR="008E3527">
        <w:t>9</w:t>
      </w:r>
      <w:r>
        <w:t>-</w:t>
      </w:r>
      <w:r w:rsidR="008E3527">
        <w:t>04</w:t>
      </w:r>
      <w:r>
        <w:t>-202</w:t>
      </w:r>
      <w:r w:rsidR="008E3527">
        <w:t>6</w:t>
      </w:r>
      <w:r>
        <w:t xml:space="preserve"> </w:t>
      </w:r>
      <w:r>
        <w:rPr>
          <w:rFonts w:ascii="Times New Roman" w:eastAsia="Times New Roman" w:hAnsi="Times New Roman" w:cs="Times New Roman"/>
          <w:sz w:val="20"/>
        </w:rPr>
        <w:t>_________________________________________________________________________________</w:t>
      </w:r>
    </w:p>
    <w:p w14:paraId="14CDA4CE" w14:textId="77777777" w:rsidR="008E3527" w:rsidRDefault="008E3527" w:rsidP="008E3527">
      <w:pPr>
        <w:spacing w:after="184"/>
        <w:ind w:right="876"/>
        <w:rPr>
          <w:rFonts w:ascii="Times New Roman" w:eastAsia="Times New Roman" w:hAnsi="Times New Roman" w:cs="Times New Roman"/>
          <w:sz w:val="20"/>
        </w:rPr>
      </w:pPr>
    </w:p>
    <w:p w14:paraId="2D3DADC3" w14:textId="5E502291" w:rsidR="008E3527" w:rsidRDefault="00851387" w:rsidP="008E3527">
      <w:pPr>
        <w:spacing w:after="184"/>
        <w:ind w:left="108" w:right="876"/>
      </w:pPr>
      <w:r>
        <w:t xml:space="preserve">Vi viser til </w:t>
      </w:r>
      <w:r w:rsidR="008E3527">
        <w:t xml:space="preserve">sentralstyrets </w:t>
      </w:r>
      <w:r>
        <w:t xml:space="preserve">møte </w:t>
      </w:r>
      <w:r w:rsidR="008E3527">
        <w:t xml:space="preserve">med </w:t>
      </w:r>
      <w:proofErr w:type="spellStart"/>
      <w:r w:rsidR="008E3527">
        <w:t>Bovim</w:t>
      </w:r>
      <w:proofErr w:type="spellEnd"/>
      <w:r w:rsidR="008E3527">
        <w:t xml:space="preserve"> og Telle 29. april. I diskusjonen om kommunens sørge-for-ansvar og forholdet til fastlegen, ble konseptet </w:t>
      </w:r>
      <w:proofErr w:type="spellStart"/>
      <w:r w:rsidR="008E3527">
        <w:t>kontoravtaler</w:t>
      </w:r>
      <w:proofErr w:type="spellEnd"/>
      <w:r w:rsidR="008E3527">
        <w:t xml:space="preserve"> foreslått. Nedenfor følger Legeforeningens innspill om </w:t>
      </w:r>
      <w:proofErr w:type="spellStart"/>
      <w:r w:rsidR="008E3527">
        <w:t>kontoravtaler</w:t>
      </w:r>
      <w:proofErr w:type="spellEnd"/>
      <w:r w:rsidR="008E3527">
        <w:t>, herunder forslag til hva slike avtaler kan regulere</w:t>
      </w:r>
      <w:r>
        <w:t>.</w:t>
      </w:r>
      <w:r w:rsidR="008E3527">
        <w:t xml:space="preserve"> </w:t>
      </w:r>
    </w:p>
    <w:p w14:paraId="2E5A6550" w14:textId="3179F489" w:rsidR="008E3527" w:rsidRDefault="008E3527" w:rsidP="008E3527">
      <w:pPr>
        <w:spacing w:after="184"/>
        <w:ind w:left="108" w:right="876"/>
      </w:pPr>
      <w:r>
        <w:t xml:space="preserve">Innspillet nedenfor er </w:t>
      </w:r>
      <w:proofErr w:type="spellStart"/>
      <w:r>
        <w:t>t.o</w:t>
      </w:r>
      <w:proofErr w:type="spellEnd"/>
      <w:r>
        <w:t xml:space="preserve">. også sendt til Helse- og omsorgsdepartementet, som et innspill til departementets arbeid med å følge opp forslaget om </w:t>
      </w:r>
      <w:proofErr w:type="spellStart"/>
      <w:r>
        <w:t>kontoravtaler</w:t>
      </w:r>
      <w:proofErr w:type="spellEnd"/>
      <w:r>
        <w:t xml:space="preserve"> (omtalt som gruppeavtaler) i stortingsmeldingen om allmennlegetjenesten (Meld. St. 23 (2024-2025) kap. 3.1.2).</w:t>
      </w:r>
    </w:p>
    <w:p w14:paraId="62DDDD38" w14:textId="4428C2D4" w:rsidR="00707FEB" w:rsidRDefault="00851387" w:rsidP="008E3527">
      <w:pPr>
        <w:spacing w:after="184"/>
        <w:ind w:left="108" w:right="876"/>
      </w:pPr>
      <w:r>
        <w:t xml:space="preserve">Med </w:t>
      </w:r>
      <w:proofErr w:type="spellStart"/>
      <w:r>
        <w:t>kontoravtaler</w:t>
      </w:r>
      <w:proofErr w:type="spellEnd"/>
      <w:r>
        <w:t xml:space="preserve"> mener vi avtaler mellom gruppepraksiser og kommunen. </w:t>
      </w:r>
      <w:r>
        <w:t>V</w:t>
      </w:r>
      <w:r>
        <w:t xml:space="preserve">erken begrepet </w:t>
      </w:r>
      <w:proofErr w:type="spellStart"/>
      <w:r>
        <w:t>kontoravtaler</w:t>
      </w:r>
      <w:proofErr w:type="spellEnd"/>
      <w:r>
        <w:t xml:space="preserve"> eller gruppeavtaler (som ble brukt i stortingsmeldingen) er </w:t>
      </w:r>
      <w:r>
        <w:t xml:space="preserve">spesielt gode begreper. Særlig </w:t>
      </w:r>
      <w:r>
        <w:t>sistnevnte begrep</w:t>
      </w:r>
      <w:r>
        <w:t xml:space="preserve"> kan </w:t>
      </w:r>
      <w:r>
        <w:t>forveksles med internavtaler.</w:t>
      </w:r>
      <w:r>
        <w:t xml:space="preserve"> I</w:t>
      </w:r>
      <w:r>
        <w:t xml:space="preserve"> mangel av et bedre begrep bruker vi likevel </w:t>
      </w:r>
      <w:r>
        <w:t xml:space="preserve">her betegnelsen </w:t>
      </w:r>
      <w:proofErr w:type="spellStart"/>
      <w:r>
        <w:t>kontoravtaler</w:t>
      </w:r>
      <w:proofErr w:type="spellEnd"/>
      <w:r>
        <w:t xml:space="preserve">. </w:t>
      </w:r>
    </w:p>
    <w:p w14:paraId="747C890E" w14:textId="77777777" w:rsidR="00707FEB" w:rsidRDefault="00851387">
      <w:pPr>
        <w:spacing w:after="0" w:line="259" w:lineRule="auto"/>
        <w:ind w:left="108" w:firstLine="0"/>
      </w:pPr>
      <w:r>
        <w:t xml:space="preserve"> </w:t>
      </w:r>
    </w:p>
    <w:p w14:paraId="68A2C483" w14:textId="77777777" w:rsidR="00707FEB" w:rsidRDefault="00851387">
      <w:pPr>
        <w:spacing w:after="0" w:line="259" w:lineRule="auto"/>
        <w:ind w:left="463"/>
      </w:pPr>
      <w:r>
        <w:rPr>
          <w:b/>
        </w:rPr>
        <w:t>1.</w:t>
      </w:r>
      <w:r>
        <w:rPr>
          <w:rFonts w:ascii="Arial" w:eastAsia="Arial" w:hAnsi="Arial" w:cs="Arial"/>
          <w:b/>
        </w:rPr>
        <w:t xml:space="preserve"> </w:t>
      </w:r>
      <w:r>
        <w:rPr>
          <w:b/>
        </w:rPr>
        <w:t xml:space="preserve">Bakgrunn </w:t>
      </w:r>
    </w:p>
    <w:p w14:paraId="4759BB1E" w14:textId="77777777" w:rsidR="00707FEB" w:rsidRDefault="00851387">
      <w:pPr>
        <w:spacing w:after="0"/>
        <w:ind w:left="118" w:right="876"/>
      </w:pPr>
      <w:r>
        <w:t>Rammeverket for fastlegeordningen, herunder fastlegeforskriften og rammeavtalen mellom Legeforeningen og KS (ASA 4310), legger opp til at det skal inngås individuelle fastlegeavtaler mellom legen og kommunen. Gruppepraksisen som fastlegens praksis er en del av, er ikke avtalepart eller har noen form for formalisert rolle overfor kommunen. Dette har sammenheng med at rammeverket for fastlegeordningen ble utformet i en tid da det var mer vanlig med solopraksiser. I dag er det få solopraksiser igjen, og de fle</w:t>
      </w:r>
      <w:r>
        <w:t>ste fastleger driver i en gruppepraksis. Det er ulik størrelse på gruppepraksiser, men det mest vanlige er at det er mellom 3 og 6 leger i praksisen.</w:t>
      </w:r>
      <w:r>
        <w:rPr>
          <w:vertAlign w:val="superscript"/>
        </w:rPr>
        <w:footnoteReference w:id="1"/>
      </w:r>
      <w:r>
        <w:t xml:space="preserve"> De fleste av disse er organisert med et driftsselskap eid av legene, som den enkelte lege kjøper </w:t>
      </w:r>
    </w:p>
    <w:p w14:paraId="586C4C75" w14:textId="77777777" w:rsidR="00707FEB" w:rsidRDefault="00851387">
      <w:pPr>
        <w:spacing w:after="0"/>
        <w:ind w:left="118" w:right="876"/>
      </w:pPr>
      <w:r>
        <w:t xml:space="preserve">fastlegekontortjenester av. Driftsselskapet kan være avtalepart med kommunen for forhold som det er mer hensiktsmessig å regulere i en avtale med legekontoret enn i en individuell fastlegeavtale, se eksempler i punkt 2 nedenfor.  </w:t>
      </w:r>
    </w:p>
    <w:p w14:paraId="4DBE072F" w14:textId="77777777" w:rsidR="00707FEB" w:rsidRDefault="00851387">
      <w:pPr>
        <w:spacing w:after="0" w:line="259" w:lineRule="auto"/>
        <w:ind w:left="108" w:firstLine="0"/>
      </w:pPr>
      <w:r>
        <w:t xml:space="preserve"> </w:t>
      </w:r>
    </w:p>
    <w:p w14:paraId="0E267862" w14:textId="77777777" w:rsidR="00707FEB" w:rsidRDefault="00851387">
      <w:pPr>
        <w:spacing w:after="0"/>
        <w:ind w:left="118" w:right="876"/>
      </w:pPr>
      <w:r>
        <w:t xml:space="preserve">Eierne i de fleste gruppepraksiser har inngått internavtaler/aksjonæravtaler som regulerer legenes rettigheter og forpliktelser overfor hverandre. Legeforeningen </w:t>
      </w:r>
      <w:r>
        <w:lastRenderedPageBreak/>
        <w:t xml:space="preserve">har utarbeidet maler for slike internavtaler/aksjonæravtaler, som er digitalt tilgjengelig for våre medlemmer. Så langt vi erfarer benyttes disse i utstrakt grad. </w:t>
      </w:r>
    </w:p>
    <w:p w14:paraId="4EE9A23B" w14:textId="5C0C4F9F" w:rsidR="00707FEB" w:rsidRDefault="00851387" w:rsidP="008E3527">
      <w:pPr>
        <w:spacing w:after="210"/>
        <w:ind w:left="118" w:right="876"/>
      </w:pPr>
      <w:r>
        <w:t xml:space="preserve">Dersom det åpnes for at gruppepraksiser kan inngå avtaler med kommunen som </w:t>
      </w:r>
      <w:r>
        <w:t xml:space="preserve">regulerer rettigheter og forpliktelser i fastlegeordningen, kan Legeforeningen tilpasse disse </w:t>
      </w:r>
      <w:r>
        <w:t xml:space="preserve">malene, slik at de de tilrettelegger for at virksomheten/ gruppepraksisen kan forplikte seg overfor kommunen.  </w:t>
      </w:r>
    </w:p>
    <w:p w14:paraId="7401A32C" w14:textId="77777777" w:rsidR="00707FEB" w:rsidRDefault="00851387">
      <w:pPr>
        <w:spacing w:after="0" w:line="259" w:lineRule="auto"/>
        <w:ind w:left="108" w:firstLine="0"/>
      </w:pPr>
      <w:r>
        <w:t xml:space="preserve"> </w:t>
      </w:r>
    </w:p>
    <w:p w14:paraId="6FA30539" w14:textId="4D486E9C" w:rsidR="008E3527" w:rsidRDefault="00851387">
      <w:pPr>
        <w:spacing w:after="0"/>
        <w:ind w:left="108" w:right="876" w:firstLine="360"/>
      </w:pPr>
      <w:r>
        <w:rPr>
          <w:b/>
        </w:rPr>
        <w:t>2.</w:t>
      </w:r>
      <w:r>
        <w:rPr>
          <w:rFonts w:ascii="Arial" w:eastAsia="Arial" w:hAnsi="Arial" w:cs="Arial"/>
          <w:b/>
        </w:rPr>
        <w:t xml:space="preserve"> </w:t>
      </w:r>
      <w:r>
        <w:rPr>
          <w:b/>
        </w:rPr>
        <w:t xml:space="preserve">Områder som kan egne seg for regulering i </w:t>
      </w:r>
      <w:proofErr w:type="spellStart"/>
      <w:r>
        <w:rPr>
          <w:b/>
        </w:rPr>
        <w:t>kontoravtaler</w:t>
      </w:r>
      <w:proofErr w:type="spellEnd"/>
      <w:r>
        <w:rPr>
          <w:b/>
        </w:rPr>
        <w:t xml:space="preserve"> </w:t>
      </w:r>
    </w:p>
    <w:p w14:paraId="3621C59E" w14:textId="77777777" w:rsidR="008E3527" w:rsidRDefault="008E3527">
      <w:pPr>
        <w:spacing w:after="0"/>
        <w:ind w:left="108" w:right="876" w:firstLine="360"/>
      </w:pPr>
    </w:p>
    <w:p w14:paraId="7DDDC4D8" w14:textId="48A717CA" w:rsidR="00707FEB" w:rsidRDefault="008E3527" w:rsidP="008E3527">
      <w:pPr>
        <w:spacing w:after="0"/>
        <w:ind w:left="108" w:right="876" w:firstLine="0"/>
      </w:pPr>
      <w:r>
        <w:t>S</w:t>
      </w:r>
      <w:r w:rsidR="00851387">
        <w:t xml:space="preserve">elv om Legeforeningen mener det er avgjørende for kvaliteten i fastlegeordningen at det individuelle listeansvaret består, har vi lenge ment at det i en rekke sammenhenger kan være forenklende og effektiviserende å regulere en del forhold i avtaler mellom gruppepraksiser og kommunen, i stedet for i de individuelle avtalene. Slike avtaler kan </w:t>
      </w:r>
      <w:proofErr w:type="spellStart"/>
      <w:r w:rsidR="00851387">
        <w:t>ansvarliggjøre</w:t>
      </w:r>
      <w:proofErr w:type="spellEnd"/>
      <w:r w:rsidR="00851387">
        <w:t xml:space="preserve"> gruppepraksiser som sådan, og gjøre det enklere for kommunen å lede/koordinere tjenestene, samt bidra til bedre og mer effektiv/strukturert kommunikasjon</w:t>
      </w:r>
      <w:r w:rsidR="00851387">
        <w:t xml:space="preserve"> mellom legekontoret og de ulike tjenestene i kommunen.  </w:t>
      </w:r>
    </w:p>
    <w:p w14:paraId="3FD58808" w14:textId="77777777" w:rsidR="00707FEB" w:rsidRDefault="00851387">
      <w:pPr>
        <w:spacing w:after="0" w:line="259" w:lineRule="auto"/>
        <w:ind w:left="108" w:firstLine="0"/>
      </w:pPr>
      <w:r>
        <w:t xml:space="preserve"> </w:t>
      </w:r>
    </w:p>
    <w:p w14:paraId="7DD07498" w14:textId="77777777" w:rsidR="00707FEB" w:rsidRDefault="00851387">
      <w:pPr>
        <w:spacing w:after="0"/>
        <w:ind w:left="118" w:right="876"/>
      </w:pPr>
      <w:r>
        <w:t xml:space="preserve">For å utforske dette nærmere arrangerte KS og Legeforeningen i fellesskap en workshop om </w:t>
      </w:r>
      <w:proofErr w:type="spellStart"/>
      <w:r>
        <w:t>kontoravtaler</w:t>
      </w:r>
      <w:proofErr w:type="spellEnd"/>
      <w:r>
        <w:t xml:space="preserve"> 26. november 2024. Der deltok 8 fastleger og 9 representanter for kommunene, herunder kommuneoverleger og helsesjefer. På workshopen diskuterte deltagerne bl.a. hvilke områder som kan egne seg for </w:t>
      </w:r>
      <w:proofErr w:type="spellStart"/>
      <w:r>
        <w:t>kontoravtaler</w:t>
      </w:r>
      <w:proofErr w:type="spellEnd"/>
      <w:r>
        <w:t xml:space="preserve">, samt hvilke muligheter og hindringer </w:t>
      </w:r>
      <w:proofErr w:type="spellStart"/>
      <w:r>
        <w:t>kontoravtaler</w:t>
      </w:r>
      <w:proofErr w:type="spellEnd"/>
      <w:r>
        <w:t xml:space="preserve"> kan gi. </w:t>
      </w:r>
    </w:p>
    <w:p w14:paraId="4115D551" w14:textId="77777777" w:rsidR="00707FEB" w:rsidRDefault="00851387">
      <w:pPr>
        <w:spacing w:after="0" w:line="259" w:lineRule="auto"/>
        <w:ind w:left="108" w:firstLine="0"/>
      </w:pPr>
      <w:r>
        <w:t xml:space="preserve"> </w:t>
      </w:r>
    </w:p>
    <w:p w14:paraId="7DA5660E" w14:textId="77777777" w:rsidR="00707FEB" w:rsidRDefault="00851387">
      <w:pPr>
        <w:ind w:left="118" w:right="876"/>
      </w:pPr>
      <w:r>
        <w:t xml:space="preserve">Deltagerne var rimelig samstemte på hvilke områder som kan være egnet for regulering i </w:t>
      </w:r>
      <w:proofErr w:type="spellStart"/>
      <w:r>
        <w:t>kontoravtaler</w:t>
      </w:r>
      <w:proofErr w:type="spellEnd"/>
      <w:r>
        <w:t xml:space="preserve">, og følgende ble foreslått: </w:t>
      </w:r>
    </w:p>
    <w:p w14:paraId="4D491AED" w14:textId="77777777" w:rsidR="00707FEB" w:rsidRDefault="00851387">
      <w:pPr>
        <w:numPr>
          <w:ilvl w:val="0"/>
          <w:numId w:val="1"/>
        </w:numPr>
        <w:ind w:right="876" w:hanging="360"/>
      </w:pPr>
      <w:r>
        <w:t xml:space="preserve">Åpningstider, tilgjengelighet, fraværsdekning og ferieavvikling </w:t>
      </w:r>
    </w:p>
    <w:p w14:paraId="089AC90C" w14:textId="77777777" w:rsidR="00707FEB" w:rsidRDefault="00851387">
      <w:pPr>
        <w:numPr>
          <w:ilvl w:val="0"/>
          <w:numId w:val="1"/>
        </w:numPr>
        <w:ind w:right="876" w:hanging="360"/>
      </w:pPr>
      <w:r>
        <w:t xml:space="preserve">Øyeblikkelig hjelp </w:t>
      </w:r>
    </w:p>
    <w:p w14:paraId="351F87C2" w14:textId="77777777" w:rsidR="00707FEB" w:rsidRDefault="00851387">
      <w:pPr>
        <w:numPr>
          <w:ilvl w:val="0"/>
          <w:numId w:val="1"/>
        </w:numPr>
        <w:ind w:right="876" w:hanging="360"/>
      </w:pPr>
      <w:r>
        <w:t xml:space="preserve">Daglegevakt </w:t>
      </w:r>
    </w:p>
    <w:p w14:paraId="15A7F260" w14:textId="77777777" w:rsidR="00707FEB" w:rsidRDefault="00851387">
      <w:pPr>
        <w:numPr>
          <w:ilvl w:val="0"/>
          <w:numId w:val="1"/>
        </w:numPr>
        <w:ind w:right="876" w:hanging="360"/>
      </w:pPr>
      <w:r>
        <w:t xml:space="preserve">Kvalitetsarbeid </w:t>
      </w:r>
    </w:p>
    <w:p w14:paraId="6709F8A2" w14:textId="77777777" w:rsidR="00707FEB" w:rsidRDefault="00851387">
      <w:pPr>
        <w:numPr>
          <w:ilvl w:val="0"/>
          <w:numId w:val="1"/>
        </w:numPr>
        <w:ind w:right="876" w:hanging="360"/>
      </w:pPr>
      <w:r>
        <w:t xml:space="preserve">Smittevern </w:t>
      </w:r>
    </w:p>
    <w:p w14:paraId="04943BB1" w14:textId="77777777" w:rsidR="00707FEB" w:rsidRDefault="00851387">
      <w:pPr>
        <w:numPr>
          <w:ilvl w:val="0"/>
          <w:numId w:val="1"/>
        </w:numPr>
        <w:ind w:right="876" w:hanging="360"/>
      </w:pPr>
      <w:r>
        <w:t xml:space="preserve">Vaksinering </w:t>
      </w:r>
    </w:p>
    <w:p w14:paraId="45C2AACD" w14:textId="77777777" w:rsidR="00707FEB" w:rsidRDefault="00851387">
      <w:pPr>
        <w:numPr>
          <w:ilvl w:val="0"/>
          <w:numId w:val="1"/>
        </w:numPr>
        <w:ind w:right="876" w:hanging="360"/>
      </w:pPr>
      <w:r>
        <w:t xml:space="preserve">Beredskap </w:t>
      </w:r>
    </w:p>
    <w:p w14:paraId="581F4879" w14:textId="77777777" w:rsidR="00707FEB" w:rsidRDefault="00851387">
      <w:pPr>
        <w:numPr>
          <w:ilvl w:val="0"/>
          <w:numId w:val="1"/>
        </w:numPr>
        <w:ind w:right="876" w:hanging="360"/>
      </w:pPr>
      <w:r>
        <w:t xml:space="preserve">Mottak av LIS1 </w:t>
      </w:r>
      <w:r>
        <w:t>–</w:t>
      </w:r>
      <w:r>
        <w:t xml:space="preserve"> kontorplass og veiledning </w:t>
      </w:r>
    </w:p>
    <w:p w14:paraId="432C272B" w14:textId="77777777" w:rsidR="00707FEB" w:rsidRDefault="00851387">
      <w:pPr>
        <w:numPr>
          <w:ilvl w:val="0"/>
          <w:numId w:val="1"/>
        </w:numPr>
        <w:ind w:right="876" w:hanging="360"/>
      </w:pPr>
      <w:r>
        <w:t xml:space="preserve">Supervisjon av ALIS </w:t>
      </w:r>
    </w:p>
    <w:p w14:paraId="0FE774F7" w14:textId="77777777" w:rsidR="00707FEB" w:rsidRDefault="00851387">
      <w:pPr>
        <w:numPr>
          <w:ilvl w:val="0"/>
          <w:numId w:val="1"/>
        </w:numPr>
        <w:ind w:right="876" w:hanging="360"/>
      </w:pPr>
      <w:r>
        <w:t xml:space="preserve">Mottak av medisinstudenter </w:t>
      </w:r>
    </w:p>
    <w:p w14:paraId="3D7EE120" w14:textId="77777777" w:rsidR="00707FEB" w:rsidRDefault="00851387">
      <w:pPr>
        <w:numPr>
          <w:ilvl w:val="0"/>
          <w:numId w:val="1"/>
        </w:numPr>
        <w:ind w:right="876" w:hanging="360"/>
      </w:pPr>
      <w:r>
        <w:t xml:space="preserve">Introduksjonsavtaler </w:t>
      </w:r>
    </w:p>
    <w:p w14:paraId="478F67B5" w14:textId="77777777" w:rsidR="00707FEB" w:rsidRDefault="00851387">
      <w:pPr>
        <w:numPr>
          <w:ilvl w:val="0"/>
          <w:numId w:val="1"/>
        </w:numPr>
        <w:ind w:right="876" w:hanging="360"/>
      </w:pPr>
      <w:r>
        <w:t xml:space="preserve">Informasjon til innbyggerne/nettsider </w:t>
      </w:r>
    </w:p>
    <w:p w14:paraId="638A77D9" w14:textId="77777777" w:rsidR="00707FEB" w:rsidRDefault="00851387">
      <w:pPr>
        <w:numPr>
          <w:ilvl w:val="0"/>
          <w:numId w:val="1"/>
        </w:numPr>
        <w:ind w:right="876" w:hanging="360"/>
      </w:pPr>
      <w:r>
        <w:lastRenderedPageBreak/>
        <w:t xml:space="preserve">Kontaktpunkt for kommunen </w:t>
      </w:r>
    </w:p>
    <w:p w14:paraId="5224ABA7" w14:textId="77777777" w:rsidR="00707FEB" w:rsidRDefault="00851387">
      <w:pPr>
        <w:numPr>
          <w:ilvl w:val="0"/>
          <w:numId w:val="1"/>
        </w:numPr>
        <w:ind w:right="876" w:hanging="360"/>
      </w:pPr>
      <w:r>
        <w:t xml:space="preserve">Bruk av digitale verktøy og valg av løsninger </w:t>
      </w:r>
    </w:p>
    <w:p w14:paraId="63DA0E1E" w14:textId="77777777" w:rsidR="00707FEB" w:rsidRDefault="00851387">
      <w:pPr>
        <w:numPr>
          <w:ilvl w:val="0"/>
          <w:numId w:val="1"/>
        </w:numPr>
        <w:ind w:right="876" w:hanging="360"/>
      </w:pPr>
      <w:r>
        <w:t xml:space="preserve">Legetjenester til omsorgsboliger </w:t>
      </w:r>
    </w:p>
    <w:p w14:paraId="3F5C76AE" w14:textId="77777777" w:rsidR="00707FEB" w:rsidRDefault="00851387">
      <w:pPr>
        <w:numPr>
          <w:ilvl w:val="0"/>
          <w:numId w:val="1"/>
        </w:numPr>
        <w:ind w:right="876" w:hanging="360"/>
      </w:pPr>
      <w:r>
        <w:t xml:space="preserve">Mottak av flyktninger </w:t>
      </w:r>
    </w:p>
    <w:p w14:paraId="5941CC9F" w14:textId="77777777" w:rsidR="00707FEB" w:rsidRDefault="00851387">
      <w:pPr>
        <w:numPr>
          <w:ilvl w:val="0"/>
          <w:numId w:val="1"/>
        </w:numPr>
        <w:ind w:right="876" w:hanging="360"/>
      </w:pPr>
      <w:r>
        <w:t xml:space="preserve">Migrasjonshelse  </w:t>
      </w:r>
    </w:p>
    <w:p w14:paraId="4C53E0AE" w14:textId="77777777" w:rsidR="00707FEB" w:rsidRDefault="00851387">
      <w:pPr>
        <w:numPr>
          <w:ilvl w:val="0"/>
          <w:numId w:val="1"/>
        </w:numPr>
        <w:ind w:right="876" w:hanging="360"/>
      </w:pPr>
      <w:r>
        <w:t xml:space="preserve">Allmennlegetjenestetilbud til innbyggere som ikke er på liste i kommunen, som for eksempel studenter. </w:t>
      </w:r>
    </w:p>
    <w:p w14:paraId="48DF42C9" w14:textId="77777777" w:rsidR="00707FEB" w:rsidRDefault="00851387">
      <w:pPr>
        <w:numPr>
          <w:ilvl w:val="0"/>
          <w:numId w:val="1"/>
        </w:numPr>
        <w:ind w:right="876" w:hanging="360"/>
      </w:pPr>
      <w:r>
        <w:t xml:space="preserve">Pasienter med behov for sjeldne prosedyrer/behandlinger </w:t>
      </w:r>
    </w:p>
    <w:p w14:paraId="3811EF1D" w14:textId="77777777" w:rsidR="00707FEB" w:rsidRDefault="00851387">
      <w:pPr>
        <w:numPr>
          <w:ilvl w:val="0"/>
          <w:numId w:val="1"/>
        </w:numPr>
        <w:ind w:right="876" w:hanging="360"/>
      </w:pPr>
      <w:r>
        <w:t xml:space="preserve">Rusprøver </w:t>
      </w:r>
    </w:p>
    <w:p w14:paraId="230EFA10" w14:textId="77777777" w:rsidR="00707FEB" w:rsidRDefault="00851387">
      <w:pPr>
        <w:numPr>
          <w:ilvl w:val="0"/>
          <w:numId w:val="1"/>
        </w:numPr>
        <w:spacing w:after="170"/>
        <w:ind w:right="876" w:hanging="360"/>
      </w:pPr>
      <w:r>
        <w:t xml:space="preserve">Luftveisklinikker </w:t>
      </w:r>
    </w:p>
    <w:p w14:paraId="109BF914" w14:textId="77777777" w:rsidR="00707FEB" w:rsidRDefault="00851387">
      <w:pPr>
        <w:spacing w:after="0"/>
        <w:ind w:left="118" w:right="876"/>
      </w:pPr>
      <w:r>
        <w:t xml:space="preserve">Fastlegene og representantene for kommunene diskuterte hver for seg hvilke muligheter og utfordringer </w:t>
      </w:r>
      <w:proofErr w:type="spellStart"/>
      <w:r>
        <w:t>kontoravtaler</w:t>
      </w:r>
      <w:proofErr w:type="spellEnd"/>
      <w:r>
        <w:t xml:space="preserve"> kan gi, og gruppene oppstilte fem punkter hver som de anså som viktige: </w:t>
      </w:r>
    </w:p>
    <w:p w14:paraId="4AAF2FC2" w14:textId="77777777" w:rsidR="00707FEB" w:rsidRDefault="00851387">
      <w:pPr>
        <w:spacing w:after="0" w:line="259" w:lineRule="auto"/>
        <w:ind w:left="108" w:firstLine="0"/>
      </w:pPr>
      <w:r>
        <w:t xml:space="preserve"> </w:t>
      </w:r>
    </w:p>
    <w:p w14:paraId="3DC807DC" w14:textId="77777777" w:rsidR="00707FEB" w:rsidRDefault="00851387">
      <w:pPr>
        <w:spacing w:after="30"/>
        <w:ind w:left="118" w:right="876"/>
      </w:pPr>
      <w:r>
        <w:t xml:space="preserve">Fastlegene: </w:t>
      </w:r>
    </w:p>
    <w:p w14:paraId="3DE2495B" w14:textId="77777777" w:rsidR="00707FEB" w:rsidRDefault="00851387">
      <w:pPr>
        <w:numPr>
          <w:ilvl w:val="0"/>
          <w:numId w:val="1"/>
        </w:numPr>
        <w:ind w:right="876" w:hanging="360"/>
      </w:pPr>
      <w:r>
        <w:t xml:space="preserve">Økt forutsigbarhet, særlig for kommunene </w:t>
      </w:r>
    </w:p>
    <w:p w14:paraId="2D24F802" w14:textId="77777777" w:rsidR="00707FEB" w:rsidRDefault="00851387">
      <w:pPr>
        <w:numPr>
          <w:ilvl w:val="0"/>
          <w:numId w:val="1"/>
        </w:numPr>
        <w:ind w:right="876" w:hanging="360"/>
      </w:pPr>
      <w:r>
        <w:t xml:space="preserve">Rettferdighet mellom legene (eks. der det er stor ulikhet i krav til åpningstider i de individuelle fastlegeavtalene) </w:t>
      </w:r>
    </w:p>
    <w:p w14:paraId="7E4B374B" w14:textId="77777777" w:rsidR="00707FEB" w:rsidRDefault="00851387">
      <w:pPr>
        <w:numPr>
          <w:ilvl w:val="0"/>
          <w:numId w:val="1"/>
        </w:numPr>
        <w:ind w:right="876" w:hanging="360"/>
      </w:pPr>
      <w:r>
        <w:t xml:space="preserve">Kan stimulere til ønsket atferd </w:t>
      </w:r>
    </w:p>
    <w:p w14:paraId="26953EE5" w14:textId="77777777" w:rsidR="00707FEB" w:rsidRDefault="00851387">
      <w:pPr>
        <w:numPr>
          <w:ilvl w:val="0"/>
          <w:numId w:val="1"/>
        </w:numPr>
        <w:ind w:right="876" w:hanging="360"/>
      </w:pPr>
      <w:r>
        <w:t xml:space="preserve">Gjensidige forpliktelser og rettigheter </w:t>
      </w:r>
      <w:r>
        <w:t>–</w:t>
      </w:r>
      <w:r>
        <w:t xml:space="preserve"> alle parter bør oppleve at de "får noe igjen" for å inngå </w:t>
      </w:r>
      <w:proofErr w:type="spellStart"/>
      <w:r>
        <w:t>kontoravtaler</w:t>
      </w:r>
      <w:proofErr w:type="spellEnd"/>
      <w:r>
        <w:t xml:space="preserve"> </w:t>
      </w:r>
    </w:p>
    <w:p w14:paraId="469A9A67" w14:textId="77777777" w:rsidR="00707FEB" w:rsidRDefault="00851387">
      <w:pPr>
        <w:numPr>
          <w:ilvl w:val="0"/>
          <w:numId w:val="1"/>
        </w:numPr>
        <w:spacing w:after="170"/>
        <w:ind w:right="876" w:hanging="360"/>
      </w:pPr>
      <w:r>
        <w:t xml:space="preserve">Byråkratisering </w:t>
      </w:r>
      <w:r>
        <w:t>–</w:t>
      </w:r>
      <w:r>
        <w:t xml:space="preserve"> må ikke bidra til økt administrasjon </w:t>
      </w:r>
    </w:p>
    <w:p w14:paraId="342238A3" w14:textId="77777777" w:rsidR="00707FEB" w:rsidRDefault="00851387">
      <w:pPr>
        <w:spacing w:after="29"/>
        <w:ind w:left="118" w:right="876"/>
      </w:pPr>
      <w:r>
        <w:t xml:space="preserve">Kommunerepresentantene: </w:t>
      </w:r>
    </w:p>
    <w:p w14:paraId="1FE3892D" w14:textId="77777777" w:rsidR="00707FEB" w:rsidRDefault="00851387">
      <w:pPr>
        <w:numPr>
          <w:ilvl w:val="0"/>
          <w:numId w:val="1"/>
        </w:numPr>
        <w:ind w:right="876" w:hanging="360"/>
      </w:pPr>
      <w:r>
        <w:t xml:space="preserve">Mulighet for å styrke fellesskapet: behov for mer og bedre involvering av fastlegene </w:t>
      </w:r>
    </w:p>
    <w:p w14:paraId="77125385" w14:textId="77777777" w:rsidR="00707FEB" w:rsidRDefault="00851387">
      <w:pPr>
        <w:numPr>
          <w:ilvl w:val="0"/>
          <w:numId w:val="1"/>
        </w:numPr>
        <w:ind w:right="876" w:hanging="360"/>
      </w:pPr>
      <w:r>
        <w:t xml:space="preserve">Individuelt ansvar vs. </w:t>
      </w:r>
      <w:proofErr w:type="spellStart"/>
      <w:r>
        <w:t>kontoravtaler</w:t>
      </w:r>
      <w:proofErr w:type="spellEnd"/>
      <w:r>
        <w:t xml:space="preserve">: må være avklart hvem som har ansvaret for hva </w:t>
      </w:r>
    </w:p>
    <w:p w14:paraId="151AFCCC" w14:textId="77777777" w:rsidR="00707FEB" w:rsidRDefault="00851387">
      <w:pPr>
        <w:numPr>
          <w:ilvl w:val="0"/>
          <w:numId w:val="1"/>
        </w:numPr>
        <w:ind w:right="876" w:hanging="360"/>
      </w:pPr>
      <w:r>
        <w:t xml:space="preserve">Kommunen og de ulike helse- og omsorgstjenestene i kommunen vil ha nytte av at legekontorene har ett kontaktpunkt </w:t>
      </w:r>
    </w:p>
    <w:p w14:paraId="4760CBBE" w14:textId="77777777" w:rsidR="00707FEB" w:rsidRDefault="00851387">
      <w:pPr>
        <w:numPr>
          <w:ilvl w:val="0"/>
          <w:numId w:val="1"/>
        </w:numPr>
        <w:ind w:right="876" w:hanging="360"/>
      </w:pPr>
      <w:r>
        <w:t xml:space="preserve">Økonomien i avtalene må være avklart </w:t>
      </w:r>
    </w:p>
    <w:p w14:paraId="67750340" w14:textId="77777777" w:rsidR="00707FEB" w:rsidRDefault="00851387">
      <w:pPr>
        <w:numPr>
          <w:ilvl w:val="0"/>
          <w:numId w:val="1"/>
        </w:numPr>
        <w:spacing w:after="172"/>
        <w:ind w:right="876" w:hanging="360"/>
      </w:pPr>
      <w:r>
        <w:t xml:space="preserve">Kan gi bedre struktur på samarbeidet og økt involvering </w:t>
      </w:r>
    </w:p>
    <w:p w14:paraId="0F0A962E" w14:textId="77777777" w:rsidR="00707FEB" w:rsidRDefault="00851387">
      <w:pPr>
        <w:spacing w:after="0" w:line="259" w:lineRule="auto"/>
        <w:ind w:left="108" w:firstLine="0"/>
      </w:pPr>
      <w:r>
        <w:rPr>
          <w:b/>
        </w:rPr>
        <w:t xml:space="preserve"> </w:t>
      </w:r>
    </w:p>
    <w:p w14:paraId="243013B7" w14:textId="77777777" w:rsidR="00707FEB" w:rsidRDefault="00851387">
      <w:pPr>
        <w:spacing w:after="0" w:line="259" w:lineRule="auto"/>
        <w:ind w:left="463"/>
      </w:pPr>
      <w:r>
        <w:rPr>
          <w:b/>
        </w:rPr>
        <w:t>3.</w:t>
      </w:r>
      <w:r>
        <w:rPr>
          <w:rFonts w:ascii="Arial" w:eastAsia="Arial" w:hAnsi="Arial" w:cs="Arial"/>
          <w:b/>
        </w:rPr>
        <w:t xml:space="preserve"> </w:t>
      </w:r>
      <w:r>
        <w:rPr>
          <w:b/>
        </w:rPr>
        <w:t xml:space="preserve">Legeforeningens forslag til innretning </w:t>
      </w:r>
    </w:p>
    <w:p w14:paraId="63712560" w14:textId="77777777" w:rsidR="00707FEB" w:rsidRDefault="00851387">
      <w:pPr>
        <w:spacing w:after="190"/>
      </w:pPr>
      <w:r>
        <w:t xml:space="preserve">For at gruppepraksiser skal kunne være avtalepart med kommunen for forhold som nevnt under punkt 2 overfor, må fastlegeforskriften tilrettelegge/åpne for dette. Legeforeningen vurderer at </w:t>
      </w:r>
      <w:proofErr w:type="spellStart"/>
      <w:r>
        <w:t>kontoravtaler</w:t>
      </w:r>
      <w:proofErr w:type="spellEnd"/>
      <w:r>
        <w:t xml:space="preserve"> bør være et supplement, som kan benyttes der hvor de lokale partene finner det hensiktsmessig. Inngåelse av slike avtaler kan for eksempel stimuleres gjennom at inngåelse av </w:t>
      </w:r>
      <w:proofErr w:type="spellStart"/>
      <w:r>
        <w:t>kontoravtaler</w:t>
      </w:r>
      <w:proofErr w:type="spellEnd"/>
      <w:r>
        <w:t xml:space="preserve"> kan være ett av flere kvalitetselementer som kan inngå i beregningen av fastlegenes basistilskudd.   </w:t>
      </w:r>
    </w:p>
    <w:p w14:paraId="06B3C22C" w14:textId="77777777" w:rsidR="00707FEB" w:rsidRDefault="00851387">
      <w:pPr>
        <w:spacing w:after="188"/>
      </w:pPr>
      <w:r>
        <w:t xml:space="preserve">Når det gjelder det nærmere innholdet i de konkrete </w:t>
      </w:r>
      <w:proofErr w:type="spellStart"/>
      <w:r>
        <w:t>kontoravtalene</w:t>
      </w:r>
      <w:proofErr w:type="spellEnd"/>
      <w:r>
        <w:t xml:space="preserve">, bør det etter Legeforeningens vurdering være opp til de lokale partene, ut fra en vurdering av lokale behov. Vi vurderer også at det kan være hensiktsmessig om Legeforeningen, KS og Oslo kommune i fellesskap utarbeider en mal, som de lokale partene kan bruke som et utgangspunkt. </w:t>
      </w:r>
    </w:p>
    <w:p w14:paraId="392CD3D9" w14:textId="77777777" w:rsidR="00707FEB" w:rsidRDefault="00851387">
      <w:pPr>
        <w:spacing w:after="0" w:line="259" w:lineRule="auto"/>
        <w:ind w:left="0" w:firstLine="0"/>
      </w:pPr>
      <w:r>
        <w:t xml:space="preserve"> </w:t>
      </w:r>
    </w:p>
    <w:sectPr w:rsidR="00707FEB">
      <w:headerReference w:type="even" r:id="rId7"/>
      <w:headerReference w:type="default" r:id="rId8"/>
      <w:footerReference w:type="even" r:id="rId9"/>
      <w:footerReference w:type="default" r:id="rId10"/>
      <w:headerReference w:type="first" r:id="rId11"/>
      <w:footerReference w:type="first" r:id="rId12"/>
      <w:footnotePr>
        <w:numRestart w:val="eachPage"/>
      </w:footnotePr>
      <w:pgSz w:w="11906" w:h="16838"/>
      <w:pgMar w:top="2551" w:right="1490" w:bottom="1417" w:left="1416" w:header="416" w:footer="70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0DCD1" w14:textId="77777777" w:rsidR="00851387" w:rsidRDefault="00851387">
      <w:pPr>
        <w:spacing w:after="0" w:line="240" w:lineRule="auto"/>
      </w:pPr>
      <w:r>
        <w:separator/>
      </w:r>
    </w:p>
  </w:endnote>
  <w:endnote w:type="continuationSeparator" w:id="0">
    <w:p w14:paraId="4E020B6A" w14:textId="77777777" w:rsidR="00851387" w:rsidRDefault="00851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B37D1" w14:textId="77777777" w:rsidR="00707FEB" w:rsidRDefault="00851387">
    <w:pPr>
      <w:spacing w:after="40" w:line="259" w:lineRule="auto"/>
      <w:ind w:left="0" w:firstLine="0"/>
    </w:pPr>
    <w:r>
      <w:rPr>
        <w:color w:val="A6A6A6"/>
        <w:sz w:val="16"/>
      </w:rPr>
      <w:t xml:space="preserve">19.09.2025 </w:t>
    </w:r>
  </w:p>
  <w:p w14:paraId="3788F47D" w14:textId="77777777" w:rsidR="00707FEB" w:rsidRDefault="00851387">
    <w:pPr>
      <w:spacing w:after="0" w:line="259" w:lineRule="auto"/>
      <w:ind w:left="0" w:firstLine="0"/>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F2421" w14:textId="77777777" w:rsidR="00707FEB" w:rsidRDefault="00851387">
    <w:pPr>
      <w:spacing w:after="40" w:line="259" w:lineRule="auto"/>
      <w:ind w:left="0" w:firstLine="0"/>
    </w:pPr>
    <w:r>
      <w:rPr>
        <w:color w:val="A6A6A6"/>
        <w:sz w:val="16"/>
      </w:rPr>
      <w:t xml:space="preserve">19.09.2025 </w:t>
    </w:r>
  </w:p>
  <w:p w14:paraId="10A9E560" w14:textId="77777777" w:rsidR="00707FEB" w:rsidRDefault="00851387">
    <w:pPr>
      <w:spacing w:after="0" w:line="259" w:lineRule="auto"/>
      <w:ind w:left="0" w:firstLine="0"/>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CB5AA" w14:textId="77777777" w:rsidR="00707FEB" w:rsidRDefault="00851387">
    <w:pPr>
      <w:spacing w:after="40" w:line="259" w:lineRule="auto"/>
      <w:ind w:left="0" w:firstLine="0"/>
    </w:pPr>
    <w:r>
      <w:rPr>
        <w:color w:val="A6A6A6"/>
        <w:sz w:val="16"/>
      </w:rPr>
      <w:t xml:space="preserve">19.09.2025 </w:t>
    </w:r>
  </w:p>
  <w:p w14:paraId="2AE20444" w14:textId="77777777" w:rsidR="00707FEB" w:rsidRDefault="00851387">
    <w:pPr>
      <w:spacing w:after="0" w:line="259" w:lineRule="auto"/>
      <w:ind w:left="0" w:firstLine="0"/>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584E2" w14:textId="77777777" w:rsidR="00707FEB" w:rsidRDefault="00851387">
      <w:pPr>
        <w:spacing w:after="0" w:line="259" w:lineRule="auto"/>
        <w:ind w:left="0" w:firstLine="0"/>
      </w:pPr>
      <w:r>
        <w:separator/>
      </w:r>
    </w:p>
  </w:footnote>
  <w:footnote w:type="continuationSeparator" w:id="0">
    <w:p w14:paraId="0F804E6E" w14:textId="77777777" w:rsidR="00707FEB" w:rsidRDefault="00851387">
      <w:pPr>
        <w:spacing w:after="0" w:line="259" w:lineRule="auto"/>
        <w:ind w:left="0" w:firstLine="0"/>
      </w:pPr>
      <w:r>
        <w:continuationSeparator/>
      </w:r>
    </w:p>
  </w:footnote>
  <w:footnote w:id="1">
    <w:p w14:paraId="37E41BBF" w14:textId="77777777" w:rsidR="00707FEB" w:rsidRDefault="00851387">
      <w:pPr>
        <w:pStyle w:val="footnotedescription"/>
      </w:pPr>
      <w:r>
        <w:rPr>
          <w:rStyle w:val="footnotemark"/>
        </w:rPr>
        <w:footnoteRef/>
      </w:r>
      <w:r>
        <w:t xml:space="preserve"> </w:t>
      </w:r>
      <w:hyperlink r:id="rId1">
        <w:r>
          <w:t xml:space="preserve">Flere leger på fastlegekontorene </w:t>
        </w:r>
      </w:hyperlink>
      <w:hyperlink r:id="rId2">
        <w:r>
          <w:t xml:space="preserve">- </w:t>
        </w:r>
      </w:hyperlink>
      <w:hyperlink r:id="rId3">
        <w:r>
          <w:t>Helsedirektoratet</w:t>
        </w:r>
      </w:hyperlink>
      <w:hyperlink r:id="rId4">
        <w:r>
          <w:rPr>
            <w:color w:val="000000"/>
            <w:u w:val="none" w:color="000000"/>
          </w:rPr>
          <w:t xml:space="preserve"> </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45532" w14:textId="77777777" w:rsidR="00707FEB" w:rsidRDefault="00851387">
    <w:pPr>
      <w:spacing w:after="0" w:line="259" w:lineRule="auto"/>
      <w:ind w:left="2782" w:right="-194" w:firstLine="0"/>
    </w:pPr>
    <w:r>
      <w:rPr>
        <w:noProof/>
      </w:rPr>
      <w:drawing>
        <wp:anchor distT="0" distB="0" distL="114300" distR="114300" simplePos="0" relativeHeight="251658240" behindDoc="0" locked="0" layoutInCell="1" allowOverlap="0" wp14:anchorId="23CDDE63" wp14:editId="2BD9482B">
          <wp:simplePos x="0" y="0"/>
          <wp:positionH relativeFrom="page">
            <wp:posOffset>836930</wp:posOffset>
          </wp:positionH>
          <wp:positionV relativeFrom="page">
            <wp:posOffset>264160</wp:posOffset>
          </wp:positionV>
          <wp:extent cx="1733550" cy="895350"/>
          <wp:effectExtent l="0" t="0" r="0" b="0"/>
          <wp:wrapSquare wrapText="bothSides"/>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1733550" cy="895350"/>
                  </a:xfrm>
                  <a:prstGeom prst="rect">
                    <a:avLst/>
                  </a:prstGeom>
                </pic:spPr>
              </pic:pic>
            </a:graphicData>
          </a:graphic>
        </wp:anchor>
      </w:drawing>
    </w:r>
    <w:r>
      <w:rPr>
        <w:rFonts w:ascii="Times New Roman" w:eastAsia="Times New Roman" w:hAnsi="Times New Roman" w:cs="Times New Roman"/>
        <w:b/>
        <w:sz w:val="48"/>
      </w:rPr>
      <w:t xml:space="preserve"> </w:t>
    </w:r>
    <w:r>
      <w:rPr>
        <w:rFonts w:ascii="Times New Roman" w:eastAsia="Times New Roman" w:hAnsi="Times New Roman" w:cs="Times New Roman"/>
        <w:b/>
        <w:sz w:val="48"/>
      </w:rPr>
      <w:tab/>
      <w:t xml:space="preserve"> </w:t>
    </w:r>
  </w:p>
  <w:p w14:paraId="51552539" w14:textId="77777777" w:rsidR="00707FEB" w:rsidRDefault="00851387">
    <w:pPr>
      <w:tabs>
        <w:tab w:val="center" w:pos="2782"/>
        <w:tab w:val="center" w:pos="4537"/>
        <w:tab w:val="right" w:pos="9000"/>
      </w:tabs>
      <w:spacing w:after="0" w:line="259" w:lineRule="auto"/>
      <w:ind w:left="0" w:right="-73" w:firstLine="0"/>
    </w:pPr>
    <w:r>
      <w:rPr>
        <w:sz w:val="22"/>
      </w:rPr>
      <w:tab/>
    </w:r>
    <w:r>
      <w:rPr>
        <w:b/>
        <w:sz w:val="36"/>
      </w:rPr>
      <w:t xml:space="preserve"> </w:t>
    </w:r>
    <w:r>
      <w:rPr>
        <w:b/>
        <w:sz w:val="36"/>
      </w:rPr>
      <w:tab/>
      <w:t xml:space="preserve"> </w:t>
    </w:r>
    <w:r>
      <w:rPr>
        <w:b/>
        <w:sz w:val="36"/>
      </w:rPr>
      <w:tab/>
      <w:t xml:space="preserve">Notat </w:t>
    </w:r>
  </w:p>
  <w:p w14:paraId="4A81CF2D" w14:textId="77777777" w:rsidR="00707FEB" w:rsidRDefault="00851387">
    <w:pPr>
      <w:spacing w:after="0" w:line="259" w:lineRule="auto"/>
      <w:ind w:left="0" w:right="-1511" w:firstLine="0"/>
      <w:jc w:val="right"/>
    </w:pPr>
    <w:r>
      <w:rPr>
        <w:sz w:val="22"/>
      </w:rPr>
      <w:t xml:space="preserve"> </w:t>
    </w:r>
    <w:r>
      <w:rPr>
        <w:sz w:val="22"/>
      </w:rPr>
      <w:tab/>
      <w:t xml:space="preserve">                                                                                                                        </w:t>
    </w:r>
  </w:p>
  <w:p w14:paraId="70F5D885" w14:textId="77777777" w:rsidR="00707FEB" w:rsidRDefault="00851387">
    <w:pPr>
      <w:spacing w:after="0" w:line="259" w:lineRule="auto"/>
      <w:ind w:left="0" w:firstLine="0"/>
    </w:pPr>
    <w:r>
      <w:rPr>
        <w:sz w:val="22"/>
      </w:rPr>
      <w:t xml:space="preserve"> </w:t>
    </w:r>
  </w:p>
  <w:p w14:paraId="22806B17" w14:textId="77777777" w:rsidR="00707FEB" w:rsidRDefault="00851387">
    <w:pPr>
      <w:spacing w:after="0" w:line="259" w:lineRule="auto"/>
      <w:ind w:left="0" w:firstLine="0"/>
    </w:pP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777A2" w14:textId="77777777" w:rsidR="00707FEB" w:rsidRDefault="00851387">
    <w:pPr>
      <w:spacing w:after="0" w:line="259" w:lineRule="auto"/>
      <w:ind w:left="2782" w:right="-194" w:firstLine="0"/>
    </w:pPr>
    <w:r>
      <w:rPr>
        <w:noProof/>
      </w:rPr>
      <w:drawing>
        <wp:anchor distT="0" distB="0" distL="114300" distR="114300" simplePos="0" relativeHeight="251659264" behindDoc="0" locked="0" layoutInCell="1" allowOverlap="0" wp14:anchorId="49B2690B" wp14:editId="5C74B984">
          <wp:simplePos x="0" y="0"/>
          <wp:positionH relativeFrom="page">
            <wp:posOffset>836930</wp:posOffset>
          </wp:positionH>
          <wp:positionV relativeFrom="page">
            <wp:posOffset>264160</wp:posOffset>
          </wp:positionV>
          <wp:extent cx="1733550" cy="895350"/>
          <wp:effectExtent l="0" t="0" r="0" b="0"/>
          <wp:wrapSquare wrapText="bothSides"/>
          <wp:docPr id="1086261580"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1733550" cy="895350"/>
                  </a:xfrm>
                  <a:prstGeom prst="rect">
                    <a:avLst/>
                  </a:prstGeom>
                </pic:spPr>
              </pic:pic>
            </a:graphicData>
          </a:graphic>
        </wp:anchor>
      </w:drawing>
    </w:r>
    <w:r>
      <w:rPr>
        <w:rFonts w:ascii="Times New Roman" w:eastAsia="Times New Roman" w:hAnsi="Times New Roman" w:cs="Times New Roman"/>
        <w:b/>
        <w:sz w:val="48"/>
      </w:rPr>
      <w:t xml:space="preserve"> </w:t>
    </w:r>
    <w:r>
      <w:rPr>
        <w:rFonts w:ascii="Times New Roman" w:eastAsia="Times New Roman" w:hAnsi="Times New Roman" w:cs="Times New Roman"/>
        <w:b/>
        <w:sz w:val="48"/>
      </w:rPr>
      <w:tab/>
      <w:t xml:space="preserve"> </w:t>
    </w:r>
  </w:p>
  <w:p w14:paraId="57954091" w14:textId="77777777" w:rsidR="00707FEB" w:rsidRDefault="00851387">
    <w:pPr>
      <w:tabs>
        <w:tab w:val="center" w:pos="2782"/>
        <w:tab w:val="center" w:pos="4537"/>
        <w:tab w:val="right" w:pos="9000"/>
      </w:tabs>
      <w:spacing w:after="0" w:line="259" w:lineRule="auto"/>
      <w:ind w:left="0" w:right="-73" w:firstLine="0"/>
    </w:pPr>
    <w:r>
      <w:rPr>
        <w:sz w:val="22"/>
      </w:rPr>
      <w:tab/>
    </w:r>
    <w:r>
      <w:rPr>
        <w:b/>
        <w:sz w:val="36"/>
      </w:rPr>
      <w:t xml:space="preserve"> </w:t>
    </w:r>
    <w:r>
      <w:rPr>
        <w:b/>
        <w:sz w:val="36"/>
      </w:rPr>
      <w:tab/>
      <w:t xml:space="preserve"> </w:t>
    </w:r>
    <w:r>
      <w:rPr>
        <w:b/>
        <w:sz w:val="36"/>
      </w:rPr>
      <w:tab/>
      <w:t xml:space="preserve">Notat </w:t>
    </w:r>
  </w:p>
  <w:p w14:paraId="13DAD5CB" w14:textId="77777777" w:rsidR="00707FEB" w:rsidRDefault="00851387">
    <w:pPr>
      <w:spacing w:after="0" w:line="259" w:lineRule="auto"/>
      <w:ind w:left="0" w:right="-1511" w:firstLine="0"/>
      <w:jc w:val="right"/>
    </w:pPr>
    <w:r>
      <w:rPr>
        <w:sz w:val="22"/>
      </w:rPr>
      <w:t xml:space="preserve"> </w:t>
    </w:r>
    <w:r>
      <w:rPr>
        <w:sz w:val="22"/>
      </w:rPr>
      <w:tab/>
      <w:t xml:space="preserve">                                                                                                                        </w:t>
    </w:r>
  </w:p>
  <w:p w14:paraId="4D487B6D" w14:textId="77777777" w:rsidR="00707FEB" w:rsidRDefault="00851387">
    <w:pPr>
      <w:spacing w:after="0" w:line="259" w:lineRule="auto"/>
      <w:ind w:left="0" w:firstLine="0"/>
    </w:pPr>
    <w:r>
      <w:rPr>
        <w:sz w:val="22"/>
      </w:rPr>
      <w:t xml:space="preserve"> </w:t>
    </w:r>
  </w:p>
  <w:p w14:paraId="70B3E4A7" w14:textId="77777777" w:rsidR="00707FEB" w:rsidRDefault="00851387">
    <w:pPr>
      <w:spacing w:after="0" w:line="259" w:lineRule="auto"/>
      <w:ind w:left="0" w:firstLine="0"/>
    </w:pPr>
    <w:r>
      <w:rPr>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B6A3C" w14:textId="77777777" w:rsidR="00707FEB" w:rsidRDefault="00851387">
    <w:pPr>
      <w:spacing w:after="0" w:line="259" w:lineRule="auto"/>
      <w:ind w:left="2782" w:right="-194" w:firstLine="0"/>
    </w:pPr>
    <w:r>
      <w:rPr>
        <w:noProof/>
      </w:rPr>
      <w:drawing>
        <wp:anchor distT="0" distB="0" distL="114300" distR="114300" simplePos="0" relativeHeight="251660288" behindDoc="0" locked="0" layoutInCell="1" allowOverlap="0" wp14:anchorId="04FDD3B9" wp14:editId="18B020B9">
          <wp:simplePos x="0" y="0"/>
          <wp:positionH relativeFrom="page">
            <wp:posOffset>836930</wp:posOffset>
          </wp:positionH>
          <wp:positionV relativeFrom="page">
            <wp:posOffset>264160</wp:posOffset>
          </wp:positionV>
          <wp:extent cx="1733550" cy="895350"/>
          <wp:effectExtent l="0" t="0" r="0" b="0"/>
          <wp:wrapSquare wrapText="bothSides"/>
          <wp:docPr id="1958003023"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1733550" cy="895350"/>
                  </a:xfrm>
                  <a:prstGeom prst="rect">
                    <a:avLst/>
                  </a:prstGeom>
                </pic:spPr>
              </pic:pic>
            </a:graphicData>
          </a:graphic>
        </wp:anchor>
      </w:drawing>
    </w:r>
    <w:r>
      <w:rPr>
        <w:rFonts w:ascii="Times New Roman" w:eastAsia="Times New Roman" w:hAnsi="Times New Roman" w:cs="Times New Roman"/>
        <w:b/>
        <w:sz w:val="48"/>
      </w:rPr>
      <w:t xml:space="preserve"> </w:t>
    </w:r>
    <w:r>
      <w:rPr>
        <w:rFonts w:ascii="Times New Roman" w:eastAsia="Times New Roman" w:hAnsi="Times New Roman" w:cs="Times New Roman"/>
        <w:b/>
        <w:sz w:val="48"/>
      </w:rPr>
      <w:tab/>
      <w:t xml:space="preserve"> </w:t>
    </w:r>
  </w:p>
  <w:p w14:paraId="402769BF" w14:textId="77777777" w:rsidR="00707FEB" w:rsidRDefault="00851387">
    <w:pPr>
      <w:tabs>
        <w:tab w:val="center" w:pos="2782"/>
        <w:tab w:val="center" w:pos="4537"/>
        <w:tab w:val="right" w:pos="9000"/>
      </w:tabs>
      <w:spacing w:after="0" w:line="259" w:lineRule="auto"/>
      <w:ind w:left="0" w:right="-73" w:firstLine="0"/>
    </w:pPr>
    <w:r>
      <w:rPr>
        <w:sz w:val="22"/>
      </w:rPr>
      <w:tab/>
    </w:r>
    <w:r>
      <w:rPr>
        <w:b/>
        <w:sz w:val="36"/>
      </w:rPr>
      <w:t xml:space="preserve"> </w:t>
    </w:r>
    <w:r>
      <w:rPr>
        <w:b/>
        <w:sz w:val="36"/>
      </w:rPr>
      <w:tab/>
      <w:t xml:space="preserve"> </w:t>
    </w:r>
    <w:r>
      <w:rPr>
        <w:b/>
        <w:sz w:val="36"/>
      </w:rPr>
      <w:tab/>
      <w:t xml:space="preserve">Notat </w:t>
    </w:r>
  </w:p>
  <w:p w14:paraId="43109815" w14:textId="77777777" w:rsidR="00707FEB" w:rsidRDefault="00851387">
    <w:pPr>
      <w:spacing w:after="0" w:line="259" w:lineRule="auto"/>
      <w:ind w:left="0" w:right="-1511" w:firstLine="0"/>
      <w:jc w:val="right"/>
    </w:pPr>
    <w:r>
      <w:rPr>
        <w:sz w:val="22"/>
      </w:rPr>
      <w:t xml:space="preserve"> </w:t>
    </w:r>
    <w:r>
      <w:rPr>
        <w:sz w:val="22"/>
      </w:rPr>
      <w:tab/>
      <w:t xml:space="preserve">                                                                                                                        </w:t>
    </w:r>
  </w:p>
  <w:p w14:paraId="6EA73358" w14:textId="77777777" w:rsidR="00707FEB" w:rsidRDefault="00851387">
    <w:pPr>
      <w:spacing w:after="0" w:line="259" w:lineRule="auto"/>
      <w:ind w:left="0" w:firstLine="0"/>
    </w:pPr>
    <w:r>
      <w:rPr>
        <w:sz w:val="22"/>
      </w:rPr>
      <w:t xml:space="preserve"> </w:t>
    </w:r>
  </w:p>
  <w:p w14:paraId="1F69AF61" w14:textId="77777777" w:rsidR="00707FEB" w:rsidRDefault="00851387">
    <w:pPr>
      <w:spacing w:after="0" w:line="259" w:lineRule="auto"/>
      <w:ind w:left="0" w:firstLine="0"/>
    </w:pPr>
    <w:r>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EF6DA3"/>
    <w:multiLevelType w:val="hybridMultilevel"/>
    <w:tmpl w:val="9B92AB84"/>
    <w:lvl w:ilvl="0" w:tplc="57408C0A">
      <w:start w:val="1"/>
      <w:numFmt w:val="bullet"/>
      <w:lvlText w:val="-"/>
      <w:lvlJc w:val="left"/>
      <w:pPr>
        <w:ind w:left="8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7EAD38">
      <w:start w:val="1"/>
      <w:numFmt w:val="bullet"/>
      <w:lvlText w:val="o"/>
      <w:lvlJc w:val="left"/>
      <w:pPr>
        <w:ind w:left="14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7409932">
      <w:start w:val="1"/>
      <w:numFmt w:val="bullet"/>
      <w:lvlText w:val="▪"/>
      <w:lvlJc w:val="left"/>
      <w:pPr>
        <w:ind w:left="22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3989B32">
      <w:start w:val="1"/>
      <w:numFmt w:val="bullet"/>
      <w:lvlText w:val="•"/>
      <w:lvlJc w:val="left"/>
      <w:pPr>
        <w:ind w:left="29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A1E8514">
      <w:start w:val="1"/>
      <w:numFmt w:val="bullet"/>
      <w:lvlText w:val="o"/>
      <w:lvlJc w:val="left"/>
      <w:pPr>
        <w:ind w:left="36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9BA5DD2">
      <w:start w:val="1"/>
      <w:numFmt w:val="bullet"/>
      <w:lvlText w:val="▪"/>
      <w:lvlJc w:val="left"/>
      <w:pPr>
        <w:ind w:left="43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9869976">
      <w:start w:val="1"/>
      <w:numFmt w:val="bullet"/>
      <w:lvlText w:val="•"/>
      <w:lvlJc w:val="left"/>
      <w:pPr>
        <w:ind w:left="5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89CCC1E">
      <w:start w:val="1"/>
      <w:numFmt w:val="bullet"/>
      <w:lvlText w:val="o"/>
      <w:lvlJc w:val="left"/>
      <w:pPr>
        <w:ind w:left="5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2BC81C6">
      <w:start w:val="1"/>
      <w:numFmt w:val="bullet"/>
      <w:lvlText w:val="▪"/>
      <w:lvlJc w:val="left"/>
      <w:pPr>
        <w:ind w:left="6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2037996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FEB"/>
    <w:rsid w:val="00707FEB"/>
    <w:rsid w:val="00851387"/>
    <w:rsid w:val="008E3527"/>
    <w:rsid w:val="00A34DC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22BC6"/>
  <w15:docId w15:val="{DA2BB5EF-8855-4D95-8BD0-FB14D1786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3" w:line="251" w:lineRule="auto"/>
      <w:ind w:left="10" w:hanging="10"/>
    </w:pPr>
    <w:rPr>
      <w:rFonts w:ascii="Calibri" w:eastAsia="Calibri" w:hAnsi="Calibri" w:cs="Calibri"/>
      <w:color w:val="000000"/>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footnotedescription">
    <w:name w:val="footnote description"/>
    <w:next w:val="Normal"/>
    <w:link w:val="footnotedescriptionChar"/>
    <w:hidden/>
    <w:pPr>
      <w:spacing w:after="0" w:line="259" w:lineRule="auto"/>
    </w:pPr>
    <w:rPr>
      <w:rFonts w:ascii="Calibri" w:eastAsia="Calibri" w:hAnsi="Calibri" w:cs="Calibri"/>
      <w:color w:val="0000FF"/>
      <w:sz w:val="20"/>
      <w:u w:val="single" w:color="0000FF"/>
    </w:rPr>
  </w:style>
  <w:style w:type="character" w:customStyle="1" w:styleId="footnotedescriptionChar">
    <w:name w:val="footnote description Char"/>
    <w:link w:val="footnotedescription"/>
    <w:rPr>
      <w:rFonts w:ascii="Calibri" w:eastAsia="Calibri" w:hAnsi="Calibri" w:cs="Calibri"/>
      <w:color w:val="0000FF"/>
      <w:sz w:val="20"/>
      <w:u w:val="single" w:color="0000FF"/>
    </w:rPr>
  </w:style>
  <w:style w:type="character" w:customStyle="1" w:styleId="footnotemark">
    <w:name w:val="footnote mark"/>
    <w:hidden/>
    <w:rPr>
      <w:rFonts w:ascii="Calibri" w:eastAsia="Calibri" w:hAnsi="Calibri" w:cs="Calibri"/>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helsedirektoratet.no/rapporter/allmennlegetjenesten-arsrapport-2023-inklusive-status-per-mai-2024/utvikling-i-fastlegeordningen/flere-leger-pa-fastlegekontorene" TargetMode="External"/><Relationship Id="rId2" Type="http://schemas.openxmlformats.org/officeDocument/2006/relationships/hyperlink" Target="https://www.helsedirektoratet.no/rapporter/allmennlegetjenesten-arsrapport-2023-inklusive-status-per-mai-2024/utvikling-i-fastlegeordningen/flere-leger-pa-fastlegekontorene" TargetMode="External"/><Relationship Id="rId1" Type="http://schemas.openxmlformats.org/officeDocument/2006/relationships/hyperlink" Target="https://www.helsedirektoratet.no/rapporter/allmennlegetjenesten-arsrapport-2023-inklusive-status-per-mai-2024/utvikling-i-fastlegeordningen/flere-leger-pa-fastlegekontorene" TargetMode="External"/><Relationship Id="rId4" Type="http://schemas.openxmlformats.org/officeDocument/2006/relationships/hyperlink" Target="https://www.helsedirektoratet.no/rapporter/allmennlegetjenesten-arsrapport-2023-inklusive-status-per-mai-2024/utvikling-i-fastlegeordningen/flere-leger-pa-fastlegekontoren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885</Words>
  <Characters>5484</Characters>
  <Application>Microsoft Office Word</Application>
  <DocSecurity>0</DocSecurity>
  <Lines>121</Lines>
  <Paragraphs>65</Paragraphs>
  <ScaleCrop>false</ScaleCrop>
  <HeadingPairs>
    <vt:vector size="2" baseType="variant">
      <vt:variant>
        <vt:lpstr>Tittel</vt:lpstr>
      </vt:variant>
      <vt:variant>
        <vt:i4>1</vt:i4>
      </vt:variant>
    </vt:vector>
  </HeadingPairs>
  <TitlesOfParts>
    <vt:vector size="1" baseType="lpstr">
      <vt:lpstr/>
    </vt:vector>
  </TitlesOfParts>
  <Company>Den norske legeforening</Company>
  <LinksUpToDate>false</LinksUpToDate>
  <CharactersWithSpaces>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Innspill til Helse- og omsorgsdepartementets arbeid med ny fastlegeforskrift - kontoravtaler</dc:subject>
  <dc:creator>Marcos Ledezma</dc:creator>
  <cp:keywords/>
  <cp:lastModifiedBy>Monica Auberg</cp:lastModifiedBy>
  <cp:revision>2</cp:revision>
  <dcterms:created xsi:type="dcterms:W3CDTF">2026-04-29T10:36:00Z</dcterms:created>
  <dcterms:modified xsi:type="dcterms:W3CDTF">2026-04-29T10:36:00Z</dcterms:modified>
</cp:coreProperties>
</file>