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67B2C" w14:textId="77777777" w:rsidR="00964806" w:rsidRPr="00964806" w:rsidRDefault="00964806" w:rsidP="00964806">
      <w:pPr>
        <w:pStyle w:val="Overskrift1"/>
        <w:ind w:left="567"/>
        <w:rPr>
          <w:lang w:val="nb-NO"/>
        </w:rPr>
      </w:pPr>
      <w:r w:rsidRPr="00964806">
        <w:rPr>
          <w:lang w:val="nb-NO"/>
        </w:rPr>
        <w:t>Modell for Aktiv Rehabilitering – en forskningsbasert og effektiv metode</w:t>
      </w:r>
    </w:p>
    <w:p w14:paraId="458FF9A3" w14:textId="4B297DF0" w:rsidR="00964806" w:rsidRDefault="00964806" w:rsidP="00964806">
      <w:pPr>
        <w:ind w:left="567" w:right="1048"/>
        <w:rPr>
          <w:lang w:val="nb-NO"/>
        </w:rPr>
      </w:pPr>
      <w:r w:rsidRPr="00964806">
        <w:rPr>
          <w:lang w:val="nb-NO"/>
        </w:rPr>
        <w:t>Aktiv Rehabilitering finnes globalt med ulike nasjonale tilpasninger.</w:t>
      </w:r>
      <w:r w:rsidRPr="00964806">
        <w:rPr>
          <w:rStyle w:val="Fotnotereferanse"/>
          <w:lang w:val="nb-NO"/>
        </w:rPr>
        <w:footnoteReference w:id="1"/>
      </w:r>
      <w:r w:rsidRPr="00964806">
        <w:rPr>
          <w:lang w:val="nb-NO"/>
        </w:rPr>
        <w:t xml:space="preserve"> Den norske modellen er utviklet av Sunnaasstiftelsen gjennom femten år – tilpasset norske forhold. </w:t>
      </w:r>
    </w:p>
    <w:p w14:paraId="59B941FE" w14:textId="77777777" w:rsidR="000C1F1B" w:rsidRPr="00964806" w:rsidRDefault="000C1F1B" w:rsidP="000C1F1B">
      <w:pPr>
        <w:ind w:left="567" w:right="1048"/>
        <w:rPr>
          <w:lang w:val="nb-NO"/>
        </w:rPr>
      </w:pPr>
      <w:r w:rsidRPr="00964806">
        <w:rPr>
          <w:lang w:val="nb-NO"/>
        </w:rPr>
        <w:t>Modellen kombinerer erfaring, aktivitet og fagkompetanse for å bygge bro mellom rehabilitering og et aktivt liv i samfunnet</w:t>
      </w:r>
    </w:p>
    <w:p w14:paraId="23A604F7" w14:textId="17F3F963" w:rsidR="00964806" w:rsidRDefault="00964806" w:rsidP="00964806">
      <w:pPr>
        <w:ind w:left="567" w:right="1048"/>
        <w:rPr>
          <w:lang w:val="nb-NO"/>
        </w:rPr>
      </w:pPr>
      <w:r>
        <w:rPr>
          <w:lang w:val="nb-NO"/>
        </w:rPr>
        <w:t xml:space="preserve">Modellen har 5 viktige bærebjelker: </w:t>
      </w:r>
    </w:p>
    <w:p w14:paraId="00967086" w14:textId="77777777" w:rsidR="00964806" w:rsidRPr="00964806" w:rsidRDefault="00964806" w:rsidP="00964806">
      <w:pPr>
        <w:ind w:left="567" w:right="1048"/>
        <w:rPr>
          <w:b/>
          <w:bCs/>
          <w:lang w:val="nb-NO"/>
        </w:rPr>
      </w:pPr>
      <w:r w:rsidRPr="00964806">
        <w:rPr>
          <w:b/>
          <w:bCs/>
          <w:lang w:val="nb-NO"/>
        </w:rPr>
        <w:t>1. Likepersonsarbeid og mentorer</w:t>
      </w:r>
    </w:p>
    <w:p w14:paraId="26677D07" w14:textId="77777777" w:rsidR="00964806" w:rsidRPr="00964806" w:rsidRDefault="00964806" w:rsidP="00964806">
      <w:pPr>
        <w:ind w:left="567" w:right="1048"/>
        <w:rPr>
          <w:lang w:val="nb-NO"/>
        </w:rPr>
      </w:pPr>
      <w:r w:rsidRPr="00964806">
        <w:rPr>
          <w:lang w:val="nb-NO"/>
        </w:rPr>
        <w:t>Sertifiserte mentorer med egenerfaring fungerer som rollemodeller og veiledere. De gjør rehabiliteringen konkret og håpsskapende, og styrker deltakernes mestringstro og motivasjon.</w:t>
      </w:r>
    </w:p>
    <w:p w14:paraId="6B343FCC" w14:textId="77777777" w:rsidR="00964806" w:rsidRPr="00964806" w:rsidRDefault="00964806" w:rsidP="00964806">
      <w:pPr>
        <w:ind w:left="567" w:right="1048"/>
        <w:rPr>
          <w:b/>
          <w:bCs/>
          <w:lang w:val="nb-NO"/>
        </w:rPr>
      </w:pPr>
      <w:r w:rsidRPr="00964806">
        <w:rPr>
          <w:b/>
          <w:bCs/>
          <w:lang w:val="nb-NO"/>
        </w:rPr>
        <w:t>2. Aktivitet som metode</w:t>
      </w:r>
    </w:p>
    <w:p w14:paraId="4E805AAD" w14:textId="77777777" w:rsidR="00964806" w:rsidRPr="00964806" w:rsidRDefault="00964806" w:rsidP="00964806">
      <w:pPr>
        <w:ind w:left="567" w:right="1048"/>
        <w:rPr>
          <w:lang w:val="nb-NO"/>
        </w:rPr>
      </w:pPr>
      <w:r w:rsidRPr="00964806">
        <w:rPr>
          <w:lang w:val="nb-NO"/>
        </w:rPr>
        <w:t>Fysisk aktivitet brukes som læringsarena for å utvikle funksjon, ferdigheter og utholdenhet. Gir mestring, progresjon og styrker både fysisk og psykisk kapasitet.</w:t>
      </w:r>
    </w:p>
    <w:p w14:paraId="2D236DC0" w14:textId="77777777" w:rsidR="00964806" w:rsidRPr="00964806" w:rsidRDefault="00964806" w:rsidP="00964806">
      <w:pPr>
        <w:ind w:left="567" w:right="1048"/>
        <w:rPr>
          <w:b/>
          <w:bCs/>
          <w:lang w:val="nb-NO"/>
        </w:rPr>
      </w:pPr>
      <w:r w:rsidRPr="00964806">
        <w:rPr>
          <w:b/>
          <w:bCs/>
          <w:lang w:val="nb-NO"/>
        </w:rPr>
        <w:t>3. Sosiale nettverk og fellesskap</w:t>
      </w:r>
    </w:p>
    <w:p w14:paraId="43361C7E" w14:textId="6F2B40F6" w:rsidR="00964806" w:rsidRPr="00964806" w:rsidRDefault="00964806" w:rsidP="00964806">
      <w:pPr>
        <w:ind w:left="567" w:right="1048"/>
        <w:rPr>
          <w:lang w:val="nb-NO"/>
        </w:rPr>
      </w:pPr>
      <w:r w:rsidRPr="00964806">
        <w:rPr>
          <w:lang w:val="nb-NO"/>
        </w:rPr>
        <w:t xml:space="preserve">Deltakerne bygger nye relasjoner </w:t>
      </w:r>
      <w:r w:rsidR="000C1F1B">
        <w:rPr>
          <w:lang w:val="nb-NO"/>
        </w:rPr>
        <w:t xml:space="preserve">med likesinnede </w:t>
      </w:r>
      <w:r w:rsidRPr="00964806">
        <w:rPr>
          <w:lang w:val="nb-NO"/>
        </w:rPr>
        <w:t>gjennom felles aktiviteter. Dette motvirker isolasjon og skaper varige støttenettverk som varer etter programslutt.</w:t>
      </w:r>
    </w:p>
    <w:p w14:paraId="0DEFDB07" w14:textId="77777777" w:rsidR="00964806" w:rsidRPr="000C1F1B" w:rsidRDefault="00964806" w:rsidP="00964806">
      <w:pPr>
        <w:ind w:left="567" w:right="1048"/>
        <w:rPr>
          <w:b/>
          <w:bCs/>
          <w:lang w:val="nb-NO"/>
        </w:rPr>
      </w:pPr>
      <w:r w:rsidRPr="000C1F1B">
        <w:rPr>
          <w:b/>
          <w:bCs/>
          <w:lang w:val="nb-NO"/>
        </w:rPr>
        <w:t>4. Tverrfaglig helsefaglig forankring</w:t>
      </w:r>
    </w:p>
    <w:p w14:paraId="45B2596F" w14:textId="77777777" w:rsidR="00964806" w:rsidRPr="00964806" w:rsidRDefault="00964806" w:rsidP="00964806">
      <w:pPr>
        <w:ind w:left="567" w:right="1048"/>
        <w:rPr>
          <w:lang w:val="nb-NO"/>
        </w:rPr>
      </w:pPr>
      <w:r w:rsidRPr="00964806">
        <w:rPr>
          <w:lang w:val="nb-NO"/>
        </w:rPr>
        <w:t>Helsepersonell sikrer faglig kvalitet, trygghet og individuell tilpasning. Samtidig gir modellen verdifull kompetanseutvikling for fagpersoner.</w:t>
      </w:r>
    </w:p>
    <w:p w14:paraId="661DD283" w14:textId="77777777" w:rsidR="00964806" w:rsidRPr="000C1F1B" w:rsidRDefault="00964806" w:rsidP="00964806">
      <w:pPr>
        <w:ind w:left="567" w:right="1048"/>
        <w:rPr>
          <w:b/>
          <w:bCs/>
          <w:lang w:val="nb-NO"/>
        </w:rPr>
      </w:pPr>
      <w:r w:rsidRPr="000C1F1B">
        <w:rPr>
          <w:b/>
          <w:bCs/>
          <w:lang w:val="nb-NO"/>
        </w:rPr>
        <w:t>5. Trening i reelle livssituasjoner</w:t>
      </w:r>
    </w:p>
    <w:p w14:paraId="2121C79B" w14:textId="77777777" w:rsidR="00964806" w:rsidRPr="00964806" w:rsidRDefault="00964806" w:rsidP="00964806">
      <w:pPr>
        <w:ind w:left="567" w:right="1048"/>
        <w:rPr>
          <w:lang w:val="nb-NO"/>
        </w:rPr>
      </w:pPr>
      <w:r w:rsidRPr="00964806">
        <w:rPr>
          <w:lang w:val="nb-NO"/>
        </w:rPr>
        <w:t>Ferdigheter trenes i hverdagsnære omgivelser, noe som gir høy overføringsverdi til dagliglivet og økt selvstendighet.</w:t>
      </w:r>
    </w:p>
    <w:p w14:paraId="27F33AE2" w14:textId="77777777" w:rsidR="00964806" w:rsidRPr="000C1F1B" w:rsidRDefault="00964806" w:rsidP="00964806">
      <w:pPr>
        <w:ind w:left="567" w:right="1048"/>
        <w:rPr>
          <w:b/>
          <w:bCs/>
          <w:lang w:val="nb-NO"/>
        </w:rPr>
      </w:pPr>
      <w:r w:rsidRPr="000C1F1B">
        <w:rPr>
          <w:b/>
          <w:bCs/>
          <w:lang w:val="nb-NO"/>
        </w:rPr>
        <w:t>6. Samarbeid med idretten</w:t>
      </w:r>
    </w:p>
    <w:p w14:paraId="3926C512" w14:textId="77777777" w:rsidR="00964806" w:rsidRPr="00964806" w:rsidRDefault="00964806" w:rsidP="00964806">
      <w:pPr>
        <w:ind w:left="567" w:right="1048"/>
        <w:rPr>
          <w:lang w:val="nb-NO"/>
        </w:rPr>
      </w:pPr>
      <w:r w:rsidRPr="00964806">
        <w:rPr>
          <w:lang w:val="nb-NO"/>
        </w:rPr>
        <w:t>Deltakerne introduseres for ulike aktiviteter og idretter, og kan kobles videre til lokale miljøer. Bidrar til livslang aktivitet og rekruttering til idretten.</w:t>
      </w:r>
    </w:p>
    <w:p w14:paraId="297C01FA" w14:textId="77777777" w:rsidR="00964806" w:rsidRPr="000C1F1B" w:rsidRDefault="00964806" w:rsidP="00964806">
      <w:pPr>
        <w:ind w:left="567" w:right="1048"/>
        <w:rPr>
          <w:b/>
          <w:bCs/>
          <w:lang w:val="nb-NO"/>
        </w:rPr>
      </w:pPr>
      <w:r w:rsidRPr="000C1F1B">
        <w:rPr>
          <w:b/>
          <w:bCs/>
          <w:lang w:val="nb-NO"/>
        </w:rPr>
        <w:t>AR består av fire faser i kontakten med brukerne:</w:t>
      </w:r>
      <w:r w:rsidRPr="000C1F1B">
        <w:rPr>
          <w:rStyle w:val="Fotnotereferanse"/>
          <w:b/>
          <w:bCs/>
          <w:lang w:val="nb-NO"/>
        </w:rPr>
        <w:footnoteReference w:id="2"/>
      </w:r>
    </w:p>
    <w:p w14:paraId="1AC110DE" w14:textId="062817E6" w:rsidR="00964806" w:rsidRPr="00964806" w:rsidRDefault="00964806" w:rsidP="00964806">
      <w:pPr>
        <w:pStyle w:val="Listeavsnitt"/>
        <w:ind w:left="567" w:right="1048"/>
        <w:rPr>
          <w:lang w:val="nb-NO"/>
        </w:rPr>
      </w:pPr>
      <w:r w:rsidRPr="00964806">
        <w:rPr>
          <w:b/>
          <w:bCs/>
          <w:lang w:val="nb-NO"/>
        </w:rPr>
        <w:t>Første kontakt</w:t>
      </w:r>
      <w:r w:rsidRPr="00964806">
        <w:rPr>
          <w:lang w:val="nb-NO"/>
        </w:rPr>
        <w:t xml:space="preserve"> – oppsøkende virksomhet i sykehus </w:t>
      </w:r>
      <w:r>
        <w:rPr>
          <w:lang w:val="nb-NO"/>
        </w:rPr>
        <w:t>av likepersoner.</w:t>
      </w:r>
      <w:r w:rsidRPr="00964806">
        <w:rPr>
          <w:lang w:val="nb-NO"/>
        </w:rPr>
        <w:br/>
      </w:r>
      <w:r w:rsidRPr="00964806">
        <w:rPr>
          <w:b/>
          <w:bCs/>
          <w:lang w:val="nb-NO"/>
        </w:rPr>
        <w:t>Andre kontakt</w:t>
      </w:r>
      <w:r w:rsidRPr="00964806">
        <w:rPr>
          <w:lang w:val="nb-NO"/>
        </w:rPr>
        <w:t xml:space="preserve"> – Aktiv Rehabilitering-camper</w:t>
      </w:r>
      <w:r w:rsidRPr="00964806">
        <w:rPr>
          <w:lang w:val="nb-NO"/>
        </w:rPr>
        <w:br/>
      </w:r>
      <w:r w:rsidRPr="00964806">
        <w:rPr>
          <w:b/>
          <w:bCs/>
          <w:lang w:val="nb-NO"/>
        </w:rPr>
        <w:t>Tredje kontakt</w:t>
      </w:r>
      <w:r w:rsidRPr="00964806">
        <w:rPr>
          <w:lang w:val="nb-NO"/>
        </w:rPr>
        <w:t xml:space="preserve"> – oppfølging </w:t>
      </w:r>
      <w:r>
        <w:rPr>
          <w:lang w:val="nb-NO"/>
        </w:rPr>
        <w:t xml:space="preserve">i kommunene </w:t>
      </w:r>
      <w:r w:rsidRPr="00964806">
        <w:rPr>
          <w:lang w:val="nb-NO"/>
        </w:rPr>
        <w:t xml:space="preserve">gjennom </w:t>
      </w:r>
      <w:r>
        <w:rPr>
          <w:lang w:val="nb-NO"/>
        </w:rPr>
        <w:t>Nasjonalt Mentorkompass; en                l</w:t>
      </w:r>
      <w:r w:rsidRPr="00964806">
        <w:rPr>
          <w:lang w:val="nb-NO"/>
        </w:rPr>
        <w:t>andsdekkende mentortjeneste</w:t>
      </w:r>
      <w:r>
        <w:rPr>
          <w:lang w:val="nb-NO"/>
        </w:rPr>
        <w:t xml:space="preserve"> </w:t>
      </w:r>
      <w:r w:rsidRPr="00964806">
        <w:rPr>
          <w:lang w:val="nb-NO"/>
        </w:rPr>
        <w:t>basert på kunnskaps- og erfaringsbasert likepersonsstøtte</w:t>
      </w:r>
    </w:p>
    <w:p w14:paraId="15649C48" w14:textId="23DB61A5" w:rsidR="00964806" w:rsidRPr="00964806" w:rsidRDefault="00964806" w:rsidP="000C1F1B">
      <w:pPr>
        <w:pStyle w:val="Listeavsnitt"/>
        <w:ind w:left="567" w:right="1048"/>
        <w:rPr>
          <w:lang w:val="nb-NO"/>
        </w:rPr>
      </w:pPr>
      <w:r w:rsidRPr="00964806">
        <w:rPr>
          <w:b/>
          <w:bCs/>
          <w:lang w:val="nb-NO"/>
        </w:rPr>
        <w:t>Fjerde kontakt</w:t>
      </w:r>
      <w:r w:rsidRPr="00964806">
        <w:rPr>
          <w:lang w:val="nb-NO"/>
        </w:rPr>
        <w:t xml:space="preserve"> – opplærings- og utviklingsprogrammer gjennom ettårig mentorutdanning </w:t>
      </w:r>
    </w:p>
    <w:p w14:paraId="4FCC2792" w14:textId="2790ED21" w:rsidR="00964806" w:rsidRPr="00964806" w:rsidRDefault="00964806" w:rsidP="00964806">
      <w:pPr>
        <w:ind w:left="567" w:right="1048"/>
        <w:rPr>
          <w:lang w:val="nb-NO"/>
        </w:rPr>
      </w:pPr>
      <w:r w:rsidRPr="00964806">
        <w:rPr>
          <w:lang w:val="nb-NO"/>
        </w:rPr>
        <w:t xml:space="preserve">Modellen bygger på prinsipper om </w:t>
      </w:r>
      <w:r w:rsidRPr="00964806">
        <w:rPr>
          <w:b/>
          <w:bCs/>
          <w:lang w:val="nb-NO"/>
        </w:rPr>
        <w:t>mestring,</w:t>
      </w:r>
      <w:r w:rsidRPr="00964806">
        <w:rPr>
          <w:lang w:val="nb-NO"/>
        </w:rPr>
        <w:t xml:space="preserve"> </w:t>
      </w:r>
      <w:r w:rsidRPr="00964806">
        <w:rPr>
          <w:b/>
          <w:bCs/>
          <w:lang w:val="nb-NO"/>
        </w:rPr>
        <w:t>deltakels</w:t>
      </w:r>
      <w:r w:rsidRPr="00964806">
        <w:rPr>
          <w:lang w:val="nb-NO"/>
        </w:rPr>
        <w:t xml:space="preserve">e og </w:t>
      </w:r>
      <w:r w:rsidRPr="00964806">
        <w:rPr>
          <w:b/>
          <w:bCs/>
          <w:lang w:val="nb-NO"/>
        </w:rPr>
        <w:t>brukermedvirkning</w:t>
      </w:r>
      <w:r w:rsidRPr="00964806">
        <w:rPr>
          <w:lang w:val="nb-NO"/>
        </w:rPr>
        <w:t xml:space="preserve">, der likepersonsarbeid er sentralt. Den er utviklet med utgangspunkt i personer med ryggmargs- og hjerneskade, men </w:t>
      </w:r>
      <w:r w:rsidR="000C1F1B">
        <w:rPr>
          <w:lang w:val="nb-NO"/>
        </w:rPr>
        <w:t xml:space="preserve">metoden er overførbar til andre diagnosegrupper. </w:t>
      </w:r>
    </w:p>
    <w:p w14:paraId="6616F114" w14:textId="77777777" w:rsidR="00964806" w:rsidRPr="00964806" w:rsidRDefault="00964806" w:rsidP="00964806">
      <w:pPr>
        <w:ind w:left="567" w:right="1048"/>
        <w:rPr>
          <w:lang w:val="nb-NO"/>
        </w:rPr>
      </w:pPr>
      <w:r w:rsidRPr="00964806">
        <w:rPr>
          <w:lang w:val="nb-NO"/>
        </w:rPr>
        <w:t>Deltakerne får kunnskap, ferdigheter og et støttende nettverk som gjør dem bedre rustet til å mestre hverdagen, forebygge psykiske plager og delta aktivt i samfunnet. Modellen er forskningsbasert og evaluert med tydelige resultater, og den er tatt i bruk i over 20 land.</w:t>
      </w:r>
    </w:p>
    <w:p w14:paraId="192B771E" w14:textId="77777777" w:rsidR="00964806" w:rsidRPr="00964806" w:rsidRDefault="00964806" w:rsidP="00964806">
      <w:pPr>
        <w:ind w:left="567" w:right="1048"/>
        <w:rPr>
          <w:lang w:val="nb-NO"/>
        </w:rPr>
      </w:pPr>
      <w:r w:rsidRPr="00964806">
        <w:rPr>
          <w:lang w:val="nb-NO"/>
        </w:rPr>
        <w:lastRenderedPageBreak/>
        <w:t xml:space="preserve">Gjennom vårt ettårige program har vi utdannet og sertifisert over 120 mentorer med ryggmargs- eller hjerneskade – rundt 25 nye hvert år. Mentorene utvikler lederkompetanse og arbeidslivsrelevante kvalifikasjoner, og bruker egne erfaringer til å inspirere, støtte og veilede </w:t>
      </w:r>
      <w:proofErr w:type="spellStart"/>
      <w:r w:rsidRPr="00964806">
        <w:rPr>
          <w:lang w:val="nb-NO"/>
        </w:rPr>
        <w:t>nyskadde</w:t>
      </w:r>
      <w:proofErr w:type="spellEnd"/>
      <w:r w:rsidRPr="00964806">
        <w:rPr>
          <w:lang w:val="nb-NO"/>
        </w:rPr>
        <w:t>.</w:t>
      </w:r>
    </w:p>
    <w:p w14:paraId="33856E20" w14:textId="77777777" w:rsidR="00964806" w:rsidRPr="00964806" w:rsidRDefault="00964806" w:rsidP="00964806">
      <w:pPr>
        <w:ind w:left="567" w:right="1048"/>
        <w:rPr>
          <w:lang w:val="nb-NO"/>
        </w:rPr>
      </w:pPr>
      <w:r w:rsidRPr="00964806">
        <w:rPr>
          <w:lang w:val="nb-NO"/>
        </w:rPr>
        <w:t xml:space="preserve">For det banebrytende arbeidet med bruk av likepersoner i rehabilitering mottok stiftelsen i 2025 Nordic Spinal Cord </w:t>
      </w:r>
      <w:proofErr w:type="spellStart"/>
      <w:r w:rsidRPr="00964806">
        <w:rPr>
          <w:lang w:val="nb-NO"/>
        </w:rPr>
        <w:t>Society</w:t>
      </w:r>
      <w:proofErr w:type="spellEnd"/>
      <w:r w:rsidRPr="00964806">
        <w:rPr>
          <w:lang w:val="nb-NO"/>
        </w:rPr>
        <w:t xml:space="preserve"> (</w:t>
      </w:r>
      <w:proofErr w:type="spellStart"/>
      <w:r w:rsidRPr="00964806">
        <w:rPr>
          <w:lang w:val="nb-NO"/>
        </w:rPr>
        <w:t>NoSCoS</w:t>
      </w:r>
      <w:proofErr w:type="spellEnd"/>
      <w:r w:rsidRPr="00964806">
        <w:rPr>
          <w:lang w:val="nb-NO"/>
        </w:rPr>
        <w:t>)-prisen.</w:t>
      </w:r>
    </w:p>
    <w:p w14:paraId="20DE8C41" w14:textId="77777777" w:rsidR="00964806" w:rsidRPr="00964806" w:rsidRDefault="00964806" w:rsidP="00964806">
      <w:pPr>
        <w:ind w:left="567" w:right="1048"/>
        <w:rPr>
          <w:lang w:val="nb-NO"/>
        </w:rPr>
      </w:pPr>
      <w:r w:rsidRPr="00964806">
        <w:rPr>
          <w:lang w:val="nb-NO"/>
        </w:rPr>
        <w:t xml:space="preserve">Forskning viser at </w:t>
      </w:r>
      <w:proofErr w:type="spellStart"/>
      <w:r w:rsidRPr="00964806">
        <w:rPr>
          <w:lang w:val="nb-NO"/>
        </w:rPr>
        <w:t>Sunnaasstiftelsens</w:t>
      </w:r>
      <w:proofErr w:type="spellEnd"/>
      <w:r w:rsidRPr="00964806">
        <w:rPr>
          <w:lang w:val="nb-NO"/>
        </w:rPr>
        <w:t xml:space="preserve"> modell og metode gir betydelige samfunnsøkonomiske gevinster</w:t>
      </w:r>
      <w:r w:rsidRPr="00964806">
        <w:rPr>
          <w:rStyle w:val="Fotnotereferanse"/>
          <w:lang w:val="nb-NO"/>
        </w:rPr>
        <w:footnoteReference w:id="3"/>
      </w:r>
      <w:r w:rsidRPr="00964806">
        <w:rPr>
          <w:lang w:val="nb-NO"/>
        </w:rPr>
        <w:t xml:space="preserve">  gjennom:</w:t>
      </w:r>
    </w:p>
    <w:p w14:paraId="14B77029" w14:textId="77777777" w:rsidR="00964806" w:rsidRPr="00964806" w:rsidRDefault="00964806" w:rsidP="00964806">
      <w:pPr>
        <w:pStyle w:val="Listeavsnitt"/>
        <w:numPr>
          <w:ilvl w:val="0"/>
          <w:numId w:val="4"/>
        </w:numPr>
        <w:ind w:left="567" w:right="1048" w:firstLine="0"/>
        <w:rPr>
          <w:lang w:val="nb-NO"/>
        </w:rPr>
      </w:pPr>
      <w:r w:rsidRPr="00964806">
        <w:rPr>
          <w:lang w:val="nb-NO"/>
        </w:rPr>
        <w:t>Økt livskvalitet, mestring og deltakelse i utdanning og arbeid</w:t>
      </w:r>
    </w:p>
    <w:p w14:paraId="5C568080" w14:textId="77777777" w:rsidR="00964806" w:rsidRPr="00964806" w:rsidRDefault="00964806" w:rsidP="00964806">
      <w:pPr>
        <w:pStyle w:val="Listeavsnitt"/>
        <w:numPr>
          <w:ilvl w:val="0"/>
          <w:numId w:val="4"/>
        </w:numPr>
        <w:ind w:left="567" w:right="1048" w:firstLine="0"/>
        <w:rPr>
          <w:lang w:val="nb-NO"/>
        </w:rPr>
      </w:pPr>
      <w:r w:rsidRPr="00964806">
        <w:rPr>
          <w:lang w:val="nb-NO"/>
        </w:rPr>
        <w:t>Redusert behov for oppfølging i helse- og omsorgstjenestene</w:t>
      </w:r>
    </w:p>
    <w:p w14:paraId="7D8CA3C2" w14:textId="77777777" w:rsidR="00964806" w:rsidRPr="00964806" w:rsidRDefault="00964806" w:rsidP="00964806">
      <w:pPr>
        <w:pStyle w:val="Listeavsnitt"/>
        <w:numPr>
          <w:ilvl w:val="0"/>
          <w:numId w:val="4"/>
        </w:numPr>
        <w:ind w:left="567" w:right="1048" w:firstLine="0"/>
        <w:rPr>
          <w:lang w:val="nb-NO"/>
        </w:rPr>
      </w:pPr>
      <w:r w:rsidRPr="00964806">
        <w:rPr>
          <w:lang w:val="nb-NO"/>
        </w:rPr>
        <w:t>Mer effektiv utnyttelse av helsepersonellressurser</w:t>
      </w:r>
    </w:p>
    <w:p w14:paraId="177353F2" w14:textId="77777777" w:rsidR="00964806" w:rsidRPr="00964806" w:rsidRDefault="00964806" w:rsidP="00964806">
      <w:pPr>
        <w:pStyle w:val="Listeavsnitt"/>
        <w:numPr>
          <w:ilvl w:val="0"/>
          <w:numId w:val="4"/>
        </w:numPr>
        <w:ind w:left="567" w:right="1048" w:firstLine="0"/>
        <w:rPr>
          <w:lang w:val="nb-NO"/>
        </w:rPr>
      </w:pPr>
      <w:r w:rsidRPr="00964806">
        <w:rPr>
          <w:lang w:val="nb-NO"/>
        </w:rPr>
        <w:t>Bedre overganger fra sykehus til hjem på tvers av sektorer</w:t>
      </w:r>
    </w:p>
    <w:p w14:paraId="3E68382A" w14:textId="77777777" w:rsidR="00964806" w:rsidRPr="00964806" w:rsidRDefault="00964806" w:rsidP="00964806">
      <w:pPr>
        <w:ind w:left="567" w:right="1048"/>
        <w:rPr>
          <w:b/>
          <w:bCs/>
          <w:lang w:val="nb-NO"/>
        </w:rPr>
      </w:pPr>
      <w:r w:rsidRPr="00964806">
        <w:rPr>
          <w:b/>
          <w:bCs/>
          <w:lang w:val="nb-NO"/>
        </w:rPr>
        <w:t>En del av løsningen på store samfunnsutfordringer</w:t>
      </w:r>
    </w:p>
    <w:p w14:paraId="3F3F8783" w14:textId="77777777" w:rsidR="00964806" w:rsidRPr="00964806" w:rsidRDefault="00964806" w:rsidP="00964806">
      <w:pPr>
        <w:ind w:left="567" w:right="1048"/>
        <w:rPr>
          <w:lang w:val="nb-NO"/>
        </w:rPr>
      </w:pPr>
      <w:proofErr w:type="spellStart"/>
      <w:r w:rsidRPr="00964806">
        <w:rPr>
          <w:lang w:val="nb-NO"/>
        </w:rPr>
        <w:t>Sunnaasstiftelsens</w:t>
      </w:r>
      <w:proofErr w:type="spellEnd"/>
      <w:r w:rsidRPr="00964806">
        <w:rPr>
          <w:lang w:val="nb-NO"/>
        </w:rPr>
        <w:t xml:space="preserve"> modell bidrar til å møte flere sentrale samfunnsutfordringer:</w:t>
      </w:r>
    </w:p>
    <w:p w14:paraId="033E87C8" w14:textId="77777777" w:rsidR="00964806" w:rsidRPr="00964806" w:rsidRDefault="00964806" w:rsidP="00964806">
      <w:pPr>
        <w:numPr>
          <w:ilvl w:val="0"/>
          <w:numId w:val="2"/>
        </w:numPr>
        <w:tabs>
          <w:tab w:val="num" w:pos="720"/>
        </w:tabs>
        <w:ind w:left="567" w:right="1048" w:firstLine="0"/>
        <w:rPr>
          <w:lang w:val="nb-NO"/>
        </w:rPr>
      </w:pPr>
      <w:r w:rsidRPr="00964806">
        <w:rPr>
          <w:lang w:val="nb-NO"/>
        </w:rPr>
        <w:t>Utenforskap – et økende antall personer står utenfor arbeidslivet</w:t>
      </w:r>
    </w:p>
    <w:p w14:paraId="10EBB94F" w14:textId="77777777" w:rsidR="00964806" w:rsidRPr="00964806" w:rsidRDefault="00964806" w:rsidP="00964806">
      <w:pPr>
        <w:numPr>
          <w:ilvl w:val="0"/>
          <w:numId w:val="2"/>
        </w:numPr>
        <w:tabs>
          <w:tab w:val="num" w:pos="720"/>
        </w:tabs>
        <w:ind w:left="567" w:right="1048" w:firstLine="0"/>
        <w:rPr>
          <w:lang w:val="nb-NO"/>
        </w:rPr>
      </w:pPr>
      <w:r w:rsidRPr="00964806">
        <w:rPr>
          <w:lang w:val="nb-NO"/>
        </w:rPr>
        <w:t>Manglende støtte til pårørende</w:t>
      </w:r>
    </w:p>
    <w:p w14:paraId="3E30C147" w14:textId="77777777" w:rsidR="00964806" w:rsidRPr="00964806" w:rsidRDefault="00964806" w:rsidP="00964806">
      <w:pPr>
        <w:numPr>
          <w:ilvl w:val="0"/>
          <w:numId w:val="2"/>
        </w:numPr>
        <w:tabs>
          <w:tab w:val="num" w:pos="720"/>
        </w:tabs>
        <w:ind w:left="567" w:right="1048" w:firstLine="0"/>
        <w:rPr>
          <w:lang w:val="nb-NO"/>
        </w:rPr>
      </w:pPr>
      <w:r w:rsidRPr="00964806">
        <w:rPr>
          <w:lang w:val="nb-NO"/>
        </w:rPr>
        <w:t>Udekkede behov hos personer med psykiske lidelser</w:t>
      </w:r>
    </w:p>
    <w:p w14:paraId="6F738666" w14:textId="77777777" w:rsidR="00964806" w:rsidRPr="00964806" w:rsidRDefault="00964806" w:rsidP="00964806">
      <w:pPr>
        <w:numPr>
          <w:ilvl w:val="0"/>
          <w:numId w:val="2"/>
        </w:numPr>
        <w:tabs>
          <w:tab w:val="num" w:pos="720"/>
        </w:tabs>
        <w:ind w:left="567" w:right="1048" w:firstLine="0"/>
        <w:rPr>
          <w:lang w:val="nb-NO"/>
        </w:rPr>
      </w:pPr>
      <w:r w:rsidRPr="00964806">
        <w:rPr>
          <w:lang w:val="nb-NO"/>
        </w:rPr>
        <w:t>Mangel på helsepersonell</w:t>
      </w:r>
    </w:p>
    <w:p w14:paraId="3DF7ED71" w14:textId="77777777" w:rsidR="00964806" w:rsidRPr="00964806" w:rsidRDefault="00964806" w:rsidP="00964806">
      <w:pPr>
        <w:numPr>
          <w:ilvl w:val="0"/>
          <w:numId w:val="2"/>
        </w:numPr>
        <w:tabs>
          <w:tab w:val="num" w:pos="720"/>
        </w:tabs>
        <w:ind w:left="567" w:right="1048" w:firstLine="0"/>
        <w:rPr>
          <w:lang w:val="nb-NO"/>
        </w:rPr>
      </w:pPr>
      <w:r w:rsidRPr="00964806">
        <w:rPr>
          <w:lang w:val="nb-NO"/>
        </w:rPr>
        <w:t>Gap mellom sykehus og kommunale helse- og velferdstjenester</w:t>
      </w:r>
    </w:p>
    <w:p w14:paraId="6B5CE196" w14:textId="77777777" w:rsidR="00964806" w:rsidRPr="00964806" w:rsidRDefault="00964806" w:rsidP="00964806">
      <w:pPr>
        <w:ind w:left="567" w:right="1048"/>
        <w:rPr>
          <w:b/>
          <w:bCs/>
          <w:lang w:val="nb-NO"/>
        </w:rPr>
      </w:pPr>
      <w:r w:rsidRPr="00964806">
        <w:rPr>
          <w:b/>
          <w:bCs/>
          <w:lang w:val="nb-NO"/>
        </w:rPr>
        <w:t>Praktiske løsninger mot utenforskap</w:t>
      </w:r>
    </w:p>
    <w:p w14:paraId="65473A04" w14:textId="77777777" w:rsidR="00964806" w:rsidRPr="00964806" w:rsidRDefault="00964806" w:rsidP="00964806">
      <w:pPr>
        <w:ind w:left="567" w:right="1048"/>
        <w:rPr>
          <w:lang w:val="nb-NO"/>
        </w:rPr>
      </w:pPr>
      <w:r w:rsidRPr="00964806">
        <w:rPr>
          <w:lang w:val="nb-NO"/>
        </w:rPr>
        <w:t>Over 700 000 mennesker i yrkesaktiv alder står utenfor arbeidslivet. Antallet unge uføre øker kraftig. Samtidig ønsker 105 000 personer med funksjonsnedsettelser å arbeide (</w:t>
      </w:r>
      <w:proofErr w:type="spellStart"/>
      <w:r w:rsidRPr="00964806">
        <w:rPr>
          <w:lang w:val="nb-NO"/>
        </w:rPr>
        <w:t>Bufdir</w:t>
      </w:r>
      <w:proofErr w:type="spellEnd"/>
      <w:r w:rsidRPr="00964806">
        <w:rPr>
          <w:lang w:val="nb-NO"/>
        </w:rPr>
        <w:t>, 2020). Her ligger et stort og uutnyttet potensial.</w:t>
      </w:r>
    </w:p>
    <w:p w14:paraId="78899553" w14:textId="77777777" w:rsidR="00964806" w:rsidRPr="00964806" w:rsidRDefault="00964806" w:rsidP="00964806">
      <w:pPr>
        <w:ind w:left="567" w:right="1048"/>
        <w:rPr>
          <w:lang w:val="nb-NO"/>
        </w:rPr>
      </w:pPr>
      <w:r w:rsidRPr="00964806">
        <w:rPr>
          <w:lang w:val="nb-NO"/>
        </w:rPr>
        <w:t>Våre mentorer og mentortjenester over hele landet spiller en nøkkelrolle i å formidle håp, erfaring og tro på et meningsfullt liv med arbeid eller utdanning etter alvorlig sykdom eller skade. Det kan handle om alt fra praktiske teknikker – som forflytning mellom rullestol og bil – til råd om hvordan man kan vende tilbake til arbeid.</w:t>
      </w:r>
    </w:p>
    <w:p w14:paraId="5132843E" w14:textId="77777777" w:rsidR="00964806" w:rsidRPr="00964806" w:rsidRDefault="00964806" w:rsidP="00964806">
      <w:pPr>
        <w:ind w:left="567" w:right="1048"/>
        <w:rPr>
          <w:lang w:val="nb-NO"/>
        </w:rPr>
      </w:pPr>
      <w:r w:rsidRPr="00964806">
        <w:rPr>
          <w:lang w:val="nb-NO"/>
        </w:rPr>
        <w:t>Gjennom mentortjenestene tilbyr vi også opplæring til ansatte i kommunale helse- og omsorgstjenester, skoler og NAV, slik at kompetansen forankres lokalt.</w:t>
      </w:r>
    </w:p>
    <w:p w14:paraId="1A08185D" w14:textId="77777777" w:rsidR="00964806" w:rsidRPr="00964806" w:rsidRDefault="00964806" w:rsidP="00964806">
      <w:pPr>
        <w:ind w:left="567" w:right="1048"/>
        <w:rPr>
          <w:b/>
          <w:bCs/>
          <w:lang w:val="nb-NO"/>
        </w:rPr>
      </w:pPr>
      <w:r w:rsidRPr="00964806">
        <w:rPr>
          <w:b/>
          <w:bCs/>
          <w:lang w:val="nb-NO"/>
        </w:rPr>
        <w:t>Familiene står ofte uten tilbud</w:t>
      </w:r>
    </w:p>
    <w:p w14:paraId="439B7975" w14:textId="77777777" w:rsidR="00964806" w:rsidRPr="00964806" w:rsidRDefault="00964806" w:rsidP="00964806">
      <w:pPr>
        <w:ind w:left="567" w:right="1048"/>
        <w:rPr>
          <w:lang w:val="nb-NO"/>
        </w:rPr>
      </w:pPr>
      <w:r w:rsidRPr="00964806">
        <w:rPr>
          <w:lang w:val="nb-NO"/>
        </w:rPr>
        <w:t>Når én i familien rammes av alvorlig sykdom eller skade, påvirkes hele familien – partnere, foreldre og barn. De opplever sorg, bekymring og et stort omsorgsansvar. Kommunene har ofte verken kapasitet eller kompetanse til å gi helhetlig støtte.</w:t>
      </w:r>
    </w:p>
    <w:p w14:paraId="3E8F56E5" w14:textId="77777777" w:rsidR="00964806" w:rsidRPr="00964806" w:rsidRDefault="00964806" w:rsidP="00964806">
      <w:pPr>
        <w:ind w:left="567" w:right="1048"/>
        <w:rPr>
          <w:lang w:val="nb-NO"/>
        </w:rPr>
      </w:pPr>
      <w:r w:rsidRPr="00964806">
        <w:rPr>
          <w:lang w:val="nb-NO"/>
        </w:rPr>
        <w:t>Våre tilbud gir pårørende nødvendig støtte gjennom blant annet:</w:t>
      </w:r>
    </w:p>
    <w:p w14:paraId="1C055D6B" w14:textId="77777777" w:rsidR="00964806" w:rsidRPr="00964806" w:rsidRDefault="00964806" w:rsidP="00964806">
      <w:pPr>
        <w:ind w:left="567" w:right="1048"/>
        <w:rPr>
          <w:lang w:val="nb-NO"/>
        </w:rPr>
      </w:pPr>
      <w:r w:rsidRPr="00964806">
        <w:rPr>
          <w:b/>
          <w:bCs/>
          <w:lang w:val="nb-NO"/>
        </w:rPr>
        <w:t>Brain Camp Yng</w:t>
      </w:r>
      <w:r w:rsidRPr="00964806">
        <w:rPr>
          <w:lang w:val="nb-NO"/>
        </w:rPr>
        <w:t xml:space="preserve"> – for barn med ervervet hjerneskade og deres foreldre</w:t>
      </w:r>
      <w:r w:rsidRPr="00964806">
        <w:rPr>
          <w:lang w:val="nb-NO"/>
        </w:rPr>
        <w:br/>
      </w:r>
      <w:r w:rsidRPr="00964806">
        <w:rPr>
          <w:b/>
          <w:bCs/>
          <w:lang w:val="nb-NO"/>
        </w:rPr>
        <w:t xml:space="preserve">Partners in </w:t>
      </w:r>
      <w:proofErr w:type="spellStart"/>
      <w:r w:rsidRPr="00964806">
        <w:rPr>
          <w:b/>
          <w:bCs/>
          <w:lang w:val="nb-NO"/>
        </w:rPr>
        <w:t>Spine</w:t>
      </w:r>
      <w:proofErr w:type="spellEnd"/>
      <w:r w:rsidRPr="00964806">
        <w:rPr>
          <w:lang w:val="nb-NO"/>
        </w:rPr>
        <w:t xml:space="preserve"> – for par og partnere etter ryggmargsskade</w:t>
      </w:r>
      <w:r w:rsidRPr="00964806">
        <w:rPr>
          <w:lang w:val="nb-NO"/>
        </w:rPr>
        <w:br/>
      </w:r>
      <w:r w:rsidRPr="00964806">
        <w:rPr>
          <w:b/>
          <w:bCs/>
          <w:lang w:val="nb-NO"/>
        </w:rPr>
        <w:t>Familiesamlinger for barn som pårørende</w:t>
      </w:r>
      <w:r w:rsidRPr="00964806">
        <w:rPr>
          <w:lang w:val="nb-NO"/>
        </w:rPr>
        <w:t xml:space="preserve"> – et tilbud til søsken og barn av skadde</w:t>
      </w:r>
    </w:p>
    <w:p w14:paraId="14DD9DA0" w14:textId="77777777" w:rsidR="00964806" w:rsidRPr="00964806" w:rsidRDefault="00964806" w:rsidP="00964806">
      <w:pPr>
        <w:ind w:left="567" w:right="1048"/>
        <w:rPr>
          <w:b/>
          <w:bCs/>
          <w:lang w:val="nb-NO"/>
        </w:rPr>
      </w:pPr>
      <w:r w:rsidRPr="00964806">
        <w:rPr>
          <w:b/>
          <w:bCs/>
          <w:lang w:val="nb-NO"/>
        </w:rPr>
        <w:t>Psykiske lidelser og rus – diagnoser må sees på tvers</w:t>
      </w:r>
    </w:p>
    <w:p w14:paraId="14F4CF1B" w14:textId="77777777" w:rsidR="00964806" w:rsidRPr="00964806" w:rsidRDefault="00964806" w:rsidP="00964806">
      <w:pPr>
        <w:ind w:left="567" w:right="1048"/>
        <w:rPr>
          <w:lang w:val="nb-NO"/>
        </w:rPr>
      </w:pPr>
      <w:r w:rsidRPr="00964806">
        <w:rPr>
          <w:lang w:val="nb-NO"/>
        </w:rPr>
        <w:t>Psykiske lidelser er blant våre største folkehelseutfordringer og en viktig årsak til redusert livskvalitet, sykefravær og uførhet. Personer med funksjonsnedsettelser har særlig høy risiko for psykisk uhelse.</w:t>
      </w:r>
    </w:p>
    <w:p w14:paraId="0EB9F955" w14:textId="77777777" w:rsidR="00964806" w:rsidRPr="00964806" w:rsidRDefault="00964806" w:rsidP="00964806">
      <w:pPr>
        <w:ind w:left="567" w:right="1048"/>
        <w:rPr>
          <w:lang w:val="nb-NO"/>
        </w:rPr>
      </w:pPr>
      <w:r w:rsidRPr="00964806">
        <w:rPr>
          <w:lang w:val="nb-NO"/>
        </w:rPr>
        <w:t>Å kunne klare seg mest mulig selv og oppleve fortsatt rolle og verdi – til tross for funksjonsnedsettelse – er avgjørende for den psykiske helsen.</w:t>
      </w:r>
    </w:p>
    <w:p w14:paraId="0F9EE00A" w14:textId="77777777" w:rsidR="00964806" w:rsidRPr="00964806" w:rsidRDefault="00964806" w:rsidP="00964806">
      <w:pPr>
        <w:ind w:left="567" w:right="1048"/>
        <w:rPr>
          <w:lang w:val="nb-NO"/>
        </w:rPr>
      </w:pPr>
      <w:r w:rsidRPr="00964806">
        <w:rPr>
          <w:lang w:val="nb-NO"/>
        </w:rPr>
        <w:lastRenderedPageBreak/>
        <w:t>Aktiv Rehabilitering fremmer psykisk helse gjennom en helhetlig tilnærming som styrker livsglede, mestring og tro på fremtiden. Mentorene fungerer som bindeledd og trygge støttespillere i et nettverk som ellers ofte mangler.</w:t>
      </w:r>
    </w:p>
    <w:p w14:paraId="5D058EE9" w14:textId="77777777" w:rsidR="00964806" w:rsidRPr="00964806" w:rsidRDefault="00964806" w:rsidP="00964806">
      <w:pPr>
        <w:ind w:left="567" w:right="1048"/>
        <w:rPr>
          <w:lang w:val="nb-NO"/>
        </w:rPr>
      </w:pPr>
      <w:r w:rsidRPr="00964806">
        <w:rPr>
          <w:lang w:val="nb-NO"/>
        </w:rPr>
        <w:t>Fysisk og psykisk helse henger uløselig sammen. Mange utvikler psykiske lidelser som følge av skaden, mens andre hadde psykiske utfordringer før skaden. Den psykiske problematikken overskygges ofte av de fysiske traumene.</w:t>
      </w:r>
    </w:p>
    <w:p w14:paraId="39487216" w14:textId="77777777" w:rsidR="00964806" w:rsidRPr="00964806" w:rsidRDefault="00964806" w:rsidP="00964806">
      <w:pPr>
        <w:ind w:left="567" w:right="1048"/>
        <w:rPr>
          <w:lang w:val="nb-NO"/>
        </w:rPr>
      </w:pPr>
      <w:r w:rsidRPr="00964806">
        <w:rPr>
          <w:lang w:val="nb-NO"/>
        </w:rPr>
        <w:t>Eksisterende tilskuddsordninger definerer hvorvidt organisasjoner kvalifiserer på bakgrunn av målgruppens primærdiagnose. Våre brukere har en hjerne- eller ryggmargskade som primærdiagnose og vi avvises derfor i tilskudd innen psyk og rus. Dette er et kunstig skille som bør endres.</w:t>
      </w:r>
    </w:p>
    <w:p w14:paraId="2B4D8FFC" w14:textId="77777777" w:rsidR="00964806" w:rsidRPr="00964806" w:rsidRDefault="00964806" w:rsidP="00964806">
      <w:pPr>
        <w:ind w:left="567" w:right="1048"/>
        <w:rPr>
          <w:b/>
          <w:bCs/>
          <w:lang w:val="nb-NO"/>
        </w:rPr>
      </w:pPr>
      <w:r w:rsidRPr="00964806">
        <w:rPr>
          <w:b/>
          <w:bCs/>
          <w:lang w:val="nb-NO"/>
        </w:rPr>
        <w:t>Mangel på helsepersonell</w:t>
      </w:r>
    </w:p>
    <w:p w14:paraId="59996FCA" w14:textId="77777777" w:rsidR="00964806" w:rsidRPr="00964806" w:rsidRDefault="00964806" w:rsidP="00964806">
      <w:pPr>
        <w:ind w:left="567" w:right="1048"/>
        <w:rPr>
          <w:lang w:val="nb-NO"/>
        </w:rPr>
      </w:pPr>
      <w:r w:rsidRPr="00964806">
        <w:rPr>
          <w:lang w:val="nb-NO"/>
        </w:rPr>
        <w:t>Helsepersonellkommisjonen peker på en økende mangel på helsepersonell. Dette forsterker behovet for innovative og bærekraftige rehabiliteringsmodeller – også utenfor sykehus og institusjoner.</w:t>
      </w:r>
    </w:p>
    <w:p w14:paraId="6E628FE4" w14:textId="77777777" w:rsidR="00964806" w:rsidRPr="00964806" w:rsidRDefault="00964806" w:rsidP="00964806">
      <w:pPr>
        <w:ind w:left="567" w:right="1048"/>
        <w:rPr>
          <w:lang w:val="nb-NO"/>
        </w:rPr>
      </w:pPr>
      <w:r w:rsidRPr="00964806">
        <w:rPr>
          <w:lang w:val="nb-NO"/>
        </w:rPr>
        <w:t>Aktiv Rehabilitering, med systematisk bruk av likepersoner, er en kostnadseffektiv rehabiliteringsstrategi som kan avlaste en presset helsetjeneste (</w:t>
      </w:r>
      <w:proofErr w:type="spellStart"/>
      <w:r w:rsidRPr="00964806">
        <w:rPr>
          <w:lang w:val="nb-NO"/>
        </w:rPr>
        <w:t>Heisler</w:t>
      </w:r>
      <w:proofErr w:type="spellEnd"/>
      <w:r w:rsidRPr="00964806">
        <w:rPr>
          <w:lang w:val="nb-NO"/>
        </w:rPr>
        <w:t>, 2007).</w:t>
      </w:r>
      <w:r w:rsidRPr="00964806">
        <w:rPr>
          <w:rStyle w:val="Fotnotereferanse"/>
          <w:lang w:val="nb-NO"/>
        </w:rPr>
        <w:footnoteReference w:id="4"/>
      </w:r>
    </w:p>
    <w:p w14:paraId="5637132A" w14:textId="77777777" w:rsidR="00964806" w:rsidRPr="00964806" w:rsidRDefault="00964806" w:rsidP="00964806">
      <w:pPr>
        <w:ind w:left="567" w:right="1048"/>
        <w:rPr>
          <w:b/>
          <w:bCs/>
          <w:lang w:val="nb-NO"/>
        </w:rPr>
      </w:pPr>
      <w:r w:rsidRPr="00964806">
        <w:rPr>
          <w:b/>
          <w:bCs/>
          <w:lang w:val="nb-NO"/>
        </w:rPr>
        <w:t>Gapet mellom sykehus og kommunale tjenester</w:t>
      </w:r>
    </w:p>
    <w:p w14:paraId="19E71D55" w14:textId="77777777" w:rsidR="00964806" w:rsidRPr="00964806" w:rsidRDefault="00964806" w:rsidP="00964806">
      <w:pPr>
        <w:ind w:left="567" w:right="1048"/>
        <w:rPr>
          <w:lang w:val="nb-NO"/>
        </w:rPr>
      </w:pPr>
      <w:r w:rsidRPr="00964806">
        <w:rPr>
          <w:lang w:val="nb-NO"/>
        </w:rPr>
        <w:t>Riksrevisjonen har avdekket at seks av syv kommuner mangler lovpålagt kompetanse innen rehabilitering. Mange pasienter får god akuttbehandling i spesialisthelsetjenesten, men oppfølgingen i kommunene etter utskrivelse er ofte fragmentert og utilstrekkelig.</w:t>
      </w:r>
    </w:p>
    <w:p w14:paraId="525D0F02" w14:textId="77777777" w:rsidR="00964806" w:rsidRPr="00964806" w:rsidRDefault="00964806" w:rsidP="00964806">
      <w:pPr>
        <w:ind w:left="567" w:right="1048"/>
        <w:rPr>
          <w:lang w:val="nb-NO"/>
        </w:rPr>
      </w:pPr>
      <w:r w:rsidRPr="00964806">
        <w:rPr>
          <w:lang w:val="nb-NO"/>
        </w:rPr>
        <w:t>Over halvparten av norske kommuner har under 3000 innbyggere og kan ikke forventes å ha spesialisert rehabiliteringskompetanse. Dette får store konsekvenser for pasientenes helse, arbeidsevne, familieliv og fritid.</w:t>
      </w:r>
    </w:p>
    <w:p w14:paraId="5715A45B" w14:textId="77777777" w:rsidR="00964806" w:rsidRPr="00964806" w:rsidRDefault="00964806" w:rsidP="00964806">
      <w:pPr>
        <w:ind w:left="567" w:right="1048"/>
        <w:rPr>
          <w:lang w:val="nb-NO"/>
        </w:rPr>
      </w:pPr>
      <w:r w:rsidRPr="00964806">
        <w:rPr>
          <w:lang w:val="nb-NO"/>
        </w:rPr>
        <w:t>Pasientene blir mindre selvhjulpne, behovet for pleie- og omsorgstjenester øker, og risikoen for psykiske helseplager stiger. Samtidig blir pårørende stående i en krevende rolle som prosjektleder, pleier, partner og forelder – ofte uten nødvendig støtte.</w:t>
      </w:r>
    </w:p>
    <w:p w14:paraId="744F0EB9" w14:textId="77777777" w:rsidR="00964806" w:rsidRPr="00964806" w:rsidRDefault="00964806" w:rsidP="00964806">
      <w:pPr>
        <w:ind w:left="567" w:right="1048"/>
        <w:rPr>
          <w:lang w:val="nb-NO"/>
        </w:rPr>
      </w:pPr>
      <w:r w:rsidRPr="00964806">
        <w:rPr>
          <w:lang w:val="nb-NO"/>
        </w:rPr>
        <w:t>Våre programmer bidrar til å fylle dette gapet.</w:t>
      </w:r>
    </w:p>
    <w:p w14:paraId="17F4BCFB" w14:textId="77777777" w:rsidR="00964806" w:rsidRPr="00964806" w:rsidRDefault="00964806" w:rsidP="00964806">
      <w:pPr>
        <w:pStyle w:val="Overskrift2"/>
        <w:ind w:left="567"/>
        <w:rPr>
          <w:lang w:val="nb-NO"/>
        </w:rPr>
      </w:pPr>
      <w:r w:rsidRPr="00964806">
        <w:rPr>
          <w:lang w:val="nb-NO"/>
        </w:rPr>
        <w:t>Avslutning</w:t>
      </w:r>
    </w:p>
    <w:p w14:paraId="2302A0B5" w14:textId="77777777" w:rsidR="00964806" w:rsidRPr="00964806" w:rsidRDefault="00964806" w:rsidP="00964806">
      <w:pPr>
        <w:ind w:left="567"/>
        <w:rPr>
          <w:lang w:val="nb-NO"/>
        </w:rPr>
      </w:pPr>
      <w:r w:rsidRPr="00964806">
        <w:rPr>
          <w:b/>
          <w:bCs/>
          <w:lang w:val="nb-NO"/>
        </w:rPr>
        <w:t xml:space="preserve">Rehabiliteringstilbudet må styrkes med lavterskel, integrert tilbud om Aktiv Rehabilitering. Vi må få så mange som mulig tilbake etter sykdom og skade - til arbeid og utdanning. </w:t>
      </w:r>
      <w:r w:rsidRPr="00964806">
        <w:rPr>
          <w:lang w:val="nb-NO"/>
        </w:rPr>
        <w:t>Skal Norge lykkes med en sammenhengende og bærekraftig helse- og omsorgstjeneste, må vi:</w:t>
      </w:r>
    </w:p>
    <w:p w14:paraId="36DC0A15" w14:textId="09A1F0AF" w:rsidR="00964806" w:rsidRPr="00964806" w:rsidRDefault="00964806" w:rsidP="00964806">
      <w:pPr>
        <w:numPr>
          <w:ilvl w:val="0"/>
          <w:numId w:val="1"/>
        </w:numPr>
        <w:ind w:left="567" w:firstLine="0"/>
        <w:rPr>
          <w:lang w:val="nb-NO"/>
        </w:rPr>
      </w:pPr>
      <w:r w:rsidRPr="00964806">
        <w:rPr>
          <w:lang w:val="nb-NO"/>
        </w:rPr>
        <w:t xml:space="preserve">Investere i </w:t>
      </w:r>
      <w:r>
        <w:rPr>
          <w:lang w:val="nb-NO"/>
        </w:rPr>
        <w:t xml:space="preserve">metoden </w:t>
      </w:r>
      <w:r w:rsidRPr="00964806">
        <w:rPr>
          <w:lang w:val="nb-NO"/>
        </w:rPr>
        <w:t>Aktiv Rehabilitering</w:t>
      </w:r>
    </w:p>
    <w:p w14:paraId="327BA8AA" w14:textId="77777777" w:rsidR="00964806" w:rsidRPr="00964806" w:rsidRDefault="00964806" w:rsidP="00964806">
      <w:pPr>
        <w:numPr>
          <w:ilvl w:val="0"/>
          <w:numId w:val="1"/>
        </w:numPr>
        <w:ind w:left="567" w:firstLine="0"/>
        <w:rPr>
          <w:lang w:val="nb-NO"/>
        </w:rPr>
      </w:pPr>
      <w:r w:rsidRPr="00964806">
        <w:rPr>
          <w:lang w:val="nb-NO"/>
        </w:rPr>
        <w:t>Organisere bedre overganger mellom nivåer og sektorer mer effektivt</w:t>
      </w:r>
    </w:p>
    <w:p w14:paraId="4D023DDA" w14:textId="77777777" w:rsidR="00964806" w:rsidRPr="00964806" w:rsidRDefault="00964806" w:rsidP="00964806">
      <w:pPr>
        <w:numPr>
          <w:ilvl w:val="0"/>
          <w:numId w:val="1"/>
        </w:numPr>
        <w:ind w:left="567" w:firstLine="0"/>
        <w:rPr>
          <w:lang w:val="nb-NO"/>
        </w:rPr>
      </w:pPr>
      <w:r w:rsidRPr="00964806">
        <w:rPr>
          <w:lang w:val="nb-NO"/>
        </w:rPr>
        <w:t>Ta i bruk ideell sektor mer systematisk</w:t>
      </w:r>
    </w:p>
    <w:p w14:paraId="6A0BA198" w14:textId="77777777" w:rsidR="00964806" w:rsidRPr="00964806" w:rsidRDefault="00964806" w:rsidP="00964806">
      <w:pPr>
        <w:numPr>
          <w:ilvl w:val="0"/>
          <w:numId w:val="1"/>
        </w:numPr>
        <w:ind w:left="567" w:firstLine="0"/>
        <w:rPr>
          <w:lang w:val="nb-NO"/>
        </w:rPr>
      </w:pPr>
      <w:r w:rsidRPr="00964806">
        <w:rPr>
          <w:lang w:val="nb-NO"/>
        </w:rPr>
        <w:t>Mobilisere brukerkompetanse som supplement til helsepersonell</w:t>
      </w:r>
    </w:p>
    <w:p w14:paraId="5B433668" w14:textId="77777777" w:rsidR="00964806" w:rsidRPr="00964806" w:rsidRDefault="00964806" w:rsidP="00964806">
      <w:pPr>
        <w:ind w:left="567"/>
        <w:rPr>
          <w:b/>
          <w:bCs/>
          <w:lang w:val="nb-NO"/>
        </w:rPr>
      </w:pPr>
      <w:r w:rsidRPr="00964806">
        <w:rPr>
          <w:b/>
          <w:bCs/>
          <w:lang w:val="nb-NO"/>
        </w:rPr>
        <w:t>Aktiv Rehabilitering representerer en konkret, dokumentert og skalerbar modell som svarer direkte på utvalgets mandat.</w:t>
      </w:r>
    </w:p>
    <w:p w14:paraId="3C8B2D17" w14:textId="77777777" w:rsidR="00964806" w:rsidRPr="00964806" w:rsidRDefault="00964806" w:rsidP="00964806">
      <w:pPr>
        <w:ind w:left="567"/>
        <w:rPr>
          <w:lang w:val="nb-NO"/>
        </w:rPr>
      </w:pPr>
    </w:p>
    <w:p w14:paraId="703F29D2" w14:textId="77777777" w:rsidR="00D812B8" w:rsidRPr="00964806" w:rsidRDefault="00D812B8" w:rsidP="00964806">
      <w:pPr>
        <w:ind w:left="567"/>
        <w:rPr>
          <w:lang w:val="nb-NO"/>
        </w:rPr>
      </w:pPr>
    </w:p>
    <w:sectPr w:rsidR="00D812B8" w:rsidRPr="00964806" w:rsidSect="00964806">
      <w:pgSz w:w="11906" w:h="16838" w:code="9"/>
      <w:pgMar w:top="1127" w:right="680" w:bottom="816" w:left="680" w:header="680" w:footer="14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D739E" w14:textId="77777777" w:rsidR="00751FBD" w:rsidRDefault="00751FBD" w:rsidP="00964806">
      <w:pPr>
        <w:spacing w:after="0" w:line="240" w:lineRule="auto"/>
      </w:pPr>
      <w:r>
        <w:separator/>
      </w:r>
    </w:p>
  </w:endnote>
  <w:endnote w:type="continuationSeparator" w:id="0">
    <w:p w14:paraId="1B1A954B" w14:textId="77777777" w:rsidR="00751FBD" w:rsidRDefault="00751FBD" w:rsidP="00964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erstadt">
    <w:panose1 w:val="020B0004020202020204"/>
    <w:charset w:val="00"/>
    <w:family w:val="swiss"/>
    <w:pitch w:val="variable"/>
    <w:sig w:usb0="80000003" w:usb1="00000001" w:usb2="0000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D70BF" w14:textId="77777777" w:rsidR="00751FBD" w:rsidRDefault="00751FBD" w:rsidP="00964806">
      <w:pPr>
        <w:spacing w:after="0" w:line="240" w:lineRule="auto"/>
      </w:pPr>
      <w:r>
        <w:separator/>
      </w:r>
    </w:p>
  </w:footnote>
  <w:footnote w:type="continuationSeparator" w:id="0">
    <w:p w14:paraId="68ED000E" w14:textId="77777777" w:rsidR="00751FBD" w:rsidRDefault="00751FBD" w:rsidP="00964806">
      <w:pPr>
        <w:spacing w:after="0" w:line="240" w:lineRule="auto"/>
      </w:pPr>
      <w:r>
        <w:continuationSeparator/>
      </w:r>
    </w:p>
  </w:footnote>
  <w:footnote w:id="1">
    <w:p w14:paraId="424DA81E" w14:textId="77777777" w:rsidR="00964806" w:rsidRPr="00D97637" w:rsidRDefault="00964806" w:rsidP="00964806">
      <w:pPr>
        <w:pStyle w:val="Fotnotetekst"/>
        <w:rPr>
          <w:sz w:val="16"/>
          <w:szCs w:val="16"/>
          <w:lang w:val="en-US"/>
        </w:rPr>
      </w:pPr>
      <w:r>
        <w:rPr>
          <w:rStyle w:val="Fotnotereferanse"/>
        </w:rPr>
        <w:footnoteRef/>
      </w:r>
      <w:r w:rsidRPr="00241132">
        <w:rPr>
          <w:lang w:val="en-US"/>
        </w:rPr>
        <w:t xml:space="preserve"> </w:t>
      </w:r>
      <w:proofErr w:type="spellStart"/>
      <w:r w:rsidRPr="00B74DD2">
        <w:rPr>
          <w:sz w:val="16"/>
          <w:szCs w:val="16"/>
          <w:lang w:val="en-US"/>
        </w:rPr>
        <w:t>Divanoglou</w:t>
      </w:r>
      <w:proofErr w:type="spellEnd"/>
      <w:r w:rsidRPr="00B74DD2">
        <w:rPr>
          <w:sz w:val="16"/>
          <w:szCs w:val="16"/>
          <w:lang w:val="en-US"/>
        </w:rPr>
        <w:t xml:space="preserve">, A., &amp; Georgiou, M. (2017). Perceived effectiveness and mechanisms of community peer-based </w:t>
      </w:r>
      <w:proofErr w:type="spellStart"/>
      <w:r w:rsidRPr="00B74DD2">
        <w:rPr>
          <w:sz w:val="16"/>
          <w:szCs w:val="16"/>
          <w:lang w:val="en-US"/>
        </w:rPr>
        <w:t>programmes</w:t>
      </w:r>
      <w:proofErr w:type="spellEnd"/>
      <w:r w:rsidRPr="00B74DD2">
        <w:rPr>
          <w:sz w:val="16"/>
          <w:szCs w:val="16"/>
          <w:lang w:val="en-US"/>
        </w:rPr>
        <w:t xml:space="preserve"> for Spinal Cord Injuries: a systematic review of qualitative findings. </w:t>
      </w:r>
      <w:r w:rsidRPr="00D97637">
        <w:rPr>
          <w:sz w:val="16"/>
          <w:szCs w:val="16"/>
          <w:lang w:val="en-US"/>
        </w:rPr>
        <w:t>Spinal cord, 55(3), 225–234. https://doi.org/https://doi.org/10.1038/sc.2016.147</w:t>
      </w:r>
    </w:p>
  </w:footnote>
  <w:footnote w:id="2">
    <w:p w14:paraId="38375BCB" w14:textId="77777777" w:rsidR="00964806" w:rsidRPr="000D48D8" w:rsidRDefault="00964806" w:rsidP="00964806">
      <w:pPr>
        <w:pStyle w:val="Fotnotetekst"/>
        <w:rPr>
          <w:sz w:val="16"/>
          <w:szCs w:val="16"/>
          <w:lang w:val="en-US"/>
        </w:rPr>
      </w:pPr>
      <w:r w:rsidRPr="00B74DD2">
        <w:rPr>
          <w:rStyle w:val="Fotnotereferanse"/>
          <w:sz w:val="16"/>
          <w:szCs w:val="16"/>
        </w:rPr>
        <w:footnoteRef/>
      </w:r>
      <w:r w:rsidRPr="00042508">
        <w:rPr>
          <w:sz w:val="16"/>
          <w:szCs w:val="16"/>
        </w:rPr>
        <w:t xml:space="preserve"> </w:t>
      </w:r>
      <w:proofErr w:type="spellStart"/>
      <w:r w:rsidRPr="00042508">
        <w:rPr>
          <w:sz w:val="16"/>
          <w:szCs w:val="16"/>
        </w:rPr>
        <w:t>Divanoglou</w:t>
      </w:r>
      <w:proofErr w:type="spellEnd"/>
      <w:r w:rsidRPr="00042508">
        <w:rPr>
          <w:sz w:val="16"/>
          <w:szCs w:val="16"/>
        </w:rPr>
        <w:t xml:space="preserve">, A., </w:t>
      </w:r>
      <w:proofErr w:type="spellStart"/>
      <w:r w:rsidRPr="00042508">
        <w:rPr>
          <w:sz w:val="16"/>
          <w:szCs w:val="16"/>
        </w:rPr>
        <w:t>Tasiemski</w:t>
      </w:r>
      <w:proofErr w:type="spellEnd"/>
      <w:r w:rsidRPr="00042508">
        <w:rPr>
          <w:sz w:val="16"/>
          <w:szCs w:val="16"/>
        </w:rPr>
        <w:t xml:space="preserve">, T., </w:t>
      </w:r>
      <w:proofErr w:type="spellStart"/>
      <w:r w:rsidRPr="00042508">
        <w:rPr>
          <w:sz w:val="16"/>
          <w:szCs w:val="16"/>
        </w:rPr>
        <w:t>Augutis</w:t>
      </w:r>
      <w:proofErr w:type="spellEnd"/>
      <w:r w:rsidRPr="00042508">
        <w:rPr>
          <w:sz w:val="16"/>
          <w:szCs w:val="16"/>
        </w:rPr>
        <w:t xml:space="preserve">, M., &amp; </w:t>
      </w:r>
      <w:proofErr w:type="spellStart"/>
      <w:r w:rsidRPr="00042508">
        <w:rPr>
          <w:sz w:val="16"/>
          <w:szCs w:val="16"/>
        </w:rPr>
        <w:t>Trok</w:t>
      </w:r>
      <w:proofErr w:type="spellEnd"/>
      <w:r w:rsidRPr="00042508">
        <w:rPr>
          <w:sz w:val="16"/>
          <w:szCs w:val="16"/>
        </w:rPr>
        <w:t xml:space="preserve">, K. (2017). </w:t>
      </w:r>
      <w:r w:rsidRPr="00B74DD2">
        <w:rPr>
          <w:sz w:val="16"/>
          <w:szCs w:val="16"/>
          <w:lang w:val="en-US"/>
        </w:rPr>
        <w:t xml:space="preserve">Active Rehabilitation: a community peer-based approach for persons with spinal cord injury: international </w:t>
      </w:r>
      <w:proofErr w:type="spellStart"/>
      <w:r w:rsidRPr="00B74DD2">
        <w:rPr>
          <w:sz w:val="16"/>
          <w:szCs w:val="16"/>
          <w:lang w:val="en-US"/>
        </w:rPr>
        <w:t>utilisation</w:t>
      </w:r>
      <w:proofErr w:type="spellEnd"/>
      <w:r w:rsidRPr="00B74DD2">
        <w:rPr>
          <w:sz w:val="16"/>
          <w:szCs w:val="16"/>
          <w:lang w:val="en-US"/>
        </w:rPr>
        <w:t xml:space="preserve"> of key elements [Original Article]. </w:t>
      </w:r>
      <w:r w:rsidRPr="000D48D8">
        <w:rPr>
          <w:sz w:val="16"/>
          <w:szCs w:val="16"/>
          <w:lang w:val="en-US"/>
        </w:rPr>
        <w:t>Spinal cord, 55(6), 545–552. https://doi.org/10.1038/sc.2017.28</w:t>
      </w:r>
    </w:p>
  </w:footnote>
  <w:footnote w:id="3">
    <w:p w14:paraId="3EC94CDE" w14:textId="77777777" w:rsidR="00964806" w:rsidRPr="000D48D8" w:rsidRDefault="00964806" w:rsidP="00964806">
      <w:pPr>
        <w:pStyle w:val="Fotnotetekst"/>
        <w:rPr>
          <w:sz w:val="16"/>
          <w:szCs w:val="16"/>
          <w:lang w:val="en-US"/>
        </w:rPr>
      </w:pPr>
      <w:r w:rsidRPr="00B74DD2">
        <w:rPr>
          <w:rStyle w:val="Fotnotereferanse"/>
          <w:sz w:val="16"/>
          <w:szCs w:val="16"/>
        </w:rPr>
        <w:footnoteRef/>
      </w:r>
      <w:r w:rsidRPr="000D48D8">
        <w:rPr>
          <w:sz w:val="16"/>
          <w:szCs w:val="16"/>
          <w:lang w:val="en-US"/>
        </w:rPr>
        <w:t xml:space="preserve"> https://menon.no/prosjekter/samfunnsverdien-av-aktiv-rehabilitering</w:t>
      </w:r>
    </w:p>
  </w:footnote>
  <w:footnote w:id="4">
    <w:p w14:paraId="4B96BD7C" w14:textId="77777777" w:rsidR="00964806" w:rsidRPr="00D97637" w:rsidRDefault="00964806" w:rsidP="00964806">
      <w:pPr>
        <w:pStyle w:val="EndNoteBibliography"/>
        <w:spacing w:after="0"/>
        <w:rPr>
          <w:lang w:val="nb-NO"/>
        </w:rPr>
      </w:pPr>
      <w:r>
        <w:rPr>
          <w:rStyle w:val="Fotnotereferanse"/>
        </w:rPr>
        <w:footnoteRef/>
      </w:r>
      <w:r w:rsidRPr="00363494">
        <w:t xml:space="preserve"> </w:t>
      </w:r>
      <w:r w:rsidRPr="00363494">
        <w:rPr>
          <w:sz w:val="16"/>
          <w:szCs w:val="16"/>
        </w:rPr>
        <w:t xml:space="preserve">Heisler, M. (2007). </w:t>
      </w:r>
      <w:r w:rsidRPr="00B74DD2">
        <w:rPr>
          <w:sz w:val="16"/>
          <w:szCs w:val="16"/>
        </w:rPr>
        <w:t xml:space="preserve">Overview of peer support models to improve diabetes self-management and clinical outcomes. </w:t>
      </w:r>
      <w:r w:rsidRPr="00B74DD2">
        <w:rPr>
          <w:i/>
          <w:sz w:val="16"/>
          <w:szCs w:val="16"/>
          <w:lang w:val="nb-NO"/>
        </w:rPr>
        <w:t>Diabetes Spectrum</w:t>
      </w:r>
      <w:r w:rsidRPr="00B74DD2">
        <w:rPr>
          <w:sz w:val="16"/>
          <w:szCs w:val="16"/>
          <w:lang w:val="nb-NO"/>
        </w:rPr>
        <w:t>,</w:t>
      </w:r>
      <w:r w:rsidRPr="00B74DD2">
        <w:rPr>
          <w:i/>
          <w:sz w:val="16"/>
          <w:szCs w:val="16"/>
          <w:lang w:val="nb-NO"/>
        </w:rPr>
        <w:t xml:space="preserve"> 20</w:t>
      </w:r>
      <w:r w:rsidRPr="00B74DD2">
        <w:rPr>
          <w:sz w:val="16"/>
          <w:szCs w:val="16"/>
          <w:lang w:val="nb-NO"/>
        </w:rPr>
        <w:t xml:space="preserve">(4), 214–221. </w:t>
      </w:r>
      <w:hyperlink r:id="rId1" w:history="1">
        <w:r w:rsidRPr="00D97637">
          <w:rPr>
            <w:rStyle w:val="Hyperkobling"/>
            <w:sz w:val="16"/>
            <w:szCs w:val="16"/>
            <w:lang w:val="nb-NO"/>
          </w:rPr>
          <w:t>https://doi.org/https://doi.org/10.2337/diaspect.20.4.214</w:t>
        </w:r>
      </w:hyperlink>
      <w:r w:rsidRPr="00B74DD2">
        <w:rPr>
          <w:sz w:val="16"/>
          <w:szCs w:val="16"/>
          <w:lang w:val="nb-N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56CA9"/>
    <w:multiLevelType w:val="hybridMultilevel"/>
    <w:tmpl w:val="A384ABE2"/>
    <w:lvl w:ilvl="0" w:tplc="082CC75A">
      <w:numFmt w:val="bullet"/>
      <w:lvlText w:val="•"/>
      <w:lvlJc w:val="left"/>
      <w:pPr>
        <w:ind w:left="360" w:hanging="360"/>
      </w:pPr>
      <w:rPr>
        <w:rFonts w:ascii="Bierstadt" w:eastAsiaTheme="minorHAnsi" w:hAnsi="Bierstadt" w:cs="Times New Roman (Body C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475247E9"/>
    <w:multiLevelType w:val="multilevel"/>
    <w:tmpl w:val="0D14F6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71E244A4"/>
    <w:multiLevelType w:val="multilevel"/>
    <w:tmpl w:val="33A6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C058B2"/>
    <w:multiLevelType w:val="hybridMultilevel"/>
    <w:tmpl w:val="EE967962"/>
    <w:lvl w:ilvl="0" w:tplc="082CC75A">
      <w:numFmt w:val="bullet"/>
      <w:lvlText w:val="•"/>
      <w:lvlJc w:val="left"/>
      <w:pPr>
        <w:ind w:left="360" w:hanging="360"/>
      </w:pPr>
      <w:rPr>
        <w:rFonts w:ascii="Bierstadt" w:eastAsiaTheme="minorHAnsi" w:hAnsi="Bierstadt" w:cs="Times New Roman (Body C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526679623">
    <w:abstractNumId w:val="2"/>
  </w:num>
  <w:num w:numId="2" w16cid:durableId="1044906965">
    <w:abstractNumId w:val="1"/>
  </w:num>
  <w:num w:numId="3" w16cid:durableId="138544924">
    <w:abstractNumId w:val="3"/>
  </w:num>
  <w:num w:numId="4" w16cid:durableId="114764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806"/>
    <w:rsid w:val="000C1F1B"/>
    <w:rsid w:val="00544FAB"/>
    <w:rsid w:val="005F1FF8"/>
    <w:rsid w:val="00751FBD"/>
    <w:rsid w:val="008522CC"/>
    <w:rsid w:val="0095477A"/>
    <w:rsid w:val="00964806"/>
    <w:rsid w:val="00C6576A"/>
    <w:rsid w:val="00D812B8"/>
    <w:rsid w:val="00F630A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280F744F"/>
  <w15:chartTrackingRefBased/>
  <w15:docId w15:val="{9A95D249-FCD5-9C4E-957A-6EDF3ADE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806"/>
    <w:pPr>
      <w:spacing w:after="120" w:line="264" w:lineRule="auto"/>
      <w:ind w:right="2330"/>
    </w:pPr>
    <w:rPr>
      <w:rFonts w:ascii="Bierstadt" w:hAnsi="Bierstadt" w:cs="Times New Roman (Body CS)"/>
      <w:color w:val="000000" w:themeColor="text1"/>
      <w:spacing w:val="2"/>
      <w:kern w:val="16"/>
      <w:sz w:val="21"/>
      <w:lang w:val="en-US"/>
      <w14:ligatures w14:val="none"/>
    </w:rPr>
  </w:style>
  <w:style w:type="paragraph" w:styleId="Overskrift1">
    <w:name w:val="heading 1"/>
    <w:basedOn w:val="Normal"/>
    <w:next w:val="Normal"/>
    <w:link w:val="Overskrift1Tegn"/>
    <w:uiPriority w:val="9"/>
    <w:qFormat/>
    <w:rsid w:val="009648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9648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6480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6480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6480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6480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6480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6480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64806"/>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6480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96480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964806"/>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964806"/>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964806"/>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96480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96480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96480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64806"/>
    <w:rPr>
      <w:rFonts w:eastAsiaTheme="majorEastAsia" w:cstheme="majorBidi"/>
      <w:color w:val="272727" w:themeColor="text1" w:themeTint="D8"/>
    </w:rPr>
  </w:style>
  <w:style w:type="paragraph" w:styleId="Tittel">
    <w:name w:val="Title"/>
    <w:basedOn w:val="Normal"/>
    <w:next w:val="Normal"/>
    <w:link w:val="TittelTegn"/>
    <w:uiPriority w:val="10"/>
    <w:qFormat/>
    <w:rsid w:val="009648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6480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64806"/>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96480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64806"/>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64806"/>
    <w:rPr>
      <w:i/>
      <w:iCs/>
      <w:color w:val="404040" w:themeColor="text1" w:themeTint="BF"/>
    </w:rPr>
  </w:style>
  <w:style w:type="paragraph" w:styleId="Listeavsnitt">
    <w:name w:val="List Paragraph"/>
    <w:basedOn w:val="Normal"/>
    <w:uiPriority w:val="34"/>
    <w:qFormat/>
    <w:rsid w:val="00964806"/>
    <w:pPr>
      <w:ind w:left="720"/>
      <w:contextualSpacing/>
    </w:pPr>
  </w:style>
  <w:style w:type="character" w:styleId="Sterkutheving">
    <w:name w:val="Intense Emphasis"/>
    <w:basedOn w:val="Standardskriftforavsnitt"/>
    <w:uiPriority w:val="21"/>
    <w:qFormat/>
    <w:rsid w:val="00964806"/>
    <w:rPr>
      <w:i/>
      <w:iCs/>
      <w:color w:val="0F4761" w:themeColor="accent1" w:themeShade="BF"/>
    </w:rPr>
  </w:style>
  <w:style w:type="paragraph" w:styleId="Sterktsitat">
    <w:name w:val="Intense Quote"/>
    <w:basedOn w:val="Normal"/>
    <w:next w:val="Normal"/>
    <w:link w:val="SterktsitatTegn"/>
    <w:uiPriority w:val="30"/>
    <w:qFormat/>
    <w:rsid w:val="009648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964806"/>
    <w:rPr>
      <w:i/>
      <w:iCs/>
      <w:color w:val="0F4761" w:themeColor="accent1" w:themeShade="BF"/>
    </w:rPr>
  </w:style>
  <w:style w:type="character" w:styleId="Sterkreferanse">
    <w:name w:val="Intense Reference"/>
    <w:basedOn w:val="Standardskriftforavsnitt"/>
    <w:uiPriority w:val="32"/>
    <w:qFormat/>
    <w:rsid w:val="00964806"/>
    <w:rPr>
      <w:b/>
      <w:bCs/>
      <w:smallCaps/>
      <w:color w:val="0F4761" w:themeColor="accent1" w:themeShade="BF"/>
      <w:spacing w:val="5"/>
    </w:rPr>
  </w:style>
  <w:style w:type="paragraph" w:styleId="Fotnotetekst">
    <w:name w:val="footnote text"/>
    <w:basedOn w:val="Normal"/>
    <w:link w:val="FotnotetekstTegn"/>
    <w:uiPriority w:val="99"/>
    <w:semiHidden/>
    <w:unhideWhenUsed/>
    <w:rsid w:val="00964806"/>
    <w:pPr>
      <w:spacing w:after="0" w:line="240" w:lineRule="auto"/>
      <w:ind w:right="1332"/>
    </w:pPr>
    <w:rPr>
      <w:sz w:val="20"/>
      <w:szCs w:val="20"/>
      <w:lang w:val="nb-NO"/>
    </w:rPr>
  </w:style>
  <w:style w:type="character" w:customStyle="1" w:styleId="FotnotetekstTegn">
    <w:name w:val="Fotnotetekst Tegn"/>
    <w:basedOn w:val="Standardskriftforavsnitt"/>
    <w:link w:val="Fotnotetekst"/>
    <w:uiPriority w:val="99"/>
    <w:semiHidden/>
    <w:rsid w:val="00964806"/>
    <w:rPr>
      <w:rFonts w:ascii="Bierstadt" w:hAnsi="Bierstadt" w:cs="Times New Roman (Body CS)"/>
      <w:color w:val="000000" w:themeColor="text1"/>
      <w:spacing w:val="2"/>
      <w:kern w:val="16"/>
      <w:sz w:val="20"/>
      <w:szCs w:val="20"/>
      <w14:ligatures w14:val="none"/>
    </w:rPr>
  </w:style>
  <w:style w:type="character" w:styleId="Fotnotereferanse">
    <w:name w:val="footnote reference"/>
    <w:basedOn w:val="Standardskriftforavsnitt"/>
    <w:uiPriority w:val="99"/>
    <w:semiHidden/>
    <w:unhideWhenUsed/>
    <w:rsid w:val="00964806"/>
    <w:rPr>
      <w:vertAlign w:val="superscript"/>
    </w:rPr>
  </w:style>
  <w:style w:type="character" w:styleId="Hyperkobling">
    <w:name w:val="Hyperlink"/>
    <w:basedOn w:val="Standardskriftforavsnitt"/>
    <w:uiPriority w:val="99"/>
    <w:unhideWhenUsed/>
    <w:rsid w:val="00964806"/>
    <w:rPr>
      <w:color w:val="467886" w:themeColor="hyperlink"/>
      <w:u w:val="single"/>
    </w:rPr>
  </w:style>
  <w:style w:type="paragraph" w:customStyle="1" w:styleId="EndNoteBibliography">
    <w:name w:val="EndNote Bibliography"/>
    <w:basedOn w:val="Normal"/>
    <w:link w:val="EndNoteBibliographyTegn"/>
    <w:rsid w:val="00964806"/>
    <w:pPr>
      <w:spacing w:after="160" w:line="240" w:lineRule="auto"/>
      <w:ind w:right="0"/>
    </w:pPr>
    <w:rPr>
      <w:rFonts w:ascii="Aptos" w:hAnsi="Aptos" w:cstheme="minorBidi"/>
      <w:noProof/>
      <w:color w:val="auto"/>
      <w:spacing w:val="0"/>
      <w:kern w:val="0"/>
      <w:sz w:val="24"/>
    </w:rPr>
  </w:style>
  <w:style w:type="character" w:customStyle="1" w:styleId="EndNoteBibliographyTegn">
    <w:name w:val="EndNote Bibliography Tegn"/>
    <w:basedOn w:val="Standardskriftforavsnitt"/>
    <w:link w:val="EndNoteBibliography"/>
    <w:rsid w:val="00964806"/>
    <w:rPr>
      <w:rFonts w:ascii="Aptos" w:hAnsi="Aptos"/>
      <w:noProof/>
      <w:kern w:val="0"/>
      <w:lang w:val="en-US"/>
      <w14:ligatures w14:val="none"/>
    </w:rPr>
  </w:style>
  <w:style w:type="paragraph" w:styleId="Topptekst">
    <w:name w:val="header"/>
    <w:basedOn w:val="Normal"/>
    <w:link w:val="TopptekstTegn"/>
    <w:uiPriority w:val="99"/>
    <w:semiHidden/>
    <w:unhideWhenUsed/>
    <w:rsid w:val="00F630A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F630AF"/>
    <w:rPr>
      <w:rFonts w:ascii="Bierstadt" w:hAnsi="Bierstadt" w:cs="Times New Roman (Body CS)"/>
      <w:color w:val="000000" w:themeColor="text1"/>
      <w:spacing w:val="2"/>
      <w:kern w:val="16"/>
      <w:sz w:val="21"/>
      <w:lang w:val="en-US"/>
      <w14:ligatures w14:val="none"/>
    </w:rPr>
  </w:style>
  <w:style w:type="paragraph" w:styleId="Bunntekst">
    <w:name w:val="footer"/>
    <w:basedOn w:val="Normal"/>
    <w:link w:val="BunntekstTegn"/>
    <w:uiPriority w:val="99"/>
    <w:semiHidden/>
    <w:unhideWhenUsed/>
    <w:rsid w:val="00F630A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F630AF"/>
    <w:rPr>
      <w:rFonts w:ascii="Bierstadt" w:hAnsi="Bierstadt" w:cs="Times New Roman (Body CS)"/>
      <w:color w:val="000000" w:themeColor="text1"/>
      <w:spacing w:val="2"/>
      <w:kern w:val="16"/>
      <w:sz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doi.org/https://doi.org/10.2337/diaspect.20.4.214"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e5fbc6-b92b-45c6-8df0-dcef31620f0b" xsi:nil="true"/>
    <lcf76f155ced4ddcb4097134ff3c332f xmlns="47a0b069-bb30-49cb-a8d0-75a5ef8ba8e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ACF20C1DE6AC44BBD8452C513327875" ma:contentTypeVersion="13" ma:contentTypeDescription="Opprett et nytt dokument." ma:contentTypeScope="" ma:versionID="1790041a81b0f85994a6ec3afb38c2a1">
  <xsd:schema xmlns:xsd="http://www.w3.org/2001/XMLSchema" xmlns:xs="http://www.w3.org/2001/XMLSchema" xmlns:p="http://schemas.microsoft.com/office/2006/metadata/properties" xmlns:ns2="47a0b069-bb30-49cb-a8d0-75a5ef8ba8e4" xmlns:ns3="5ee5fbc6-b92b-45c6-8df0-dcef31620f0b" targetNamespace="http://schemas.microsoft.com/office/2006/metadata/properties" ma:root="true" ma:fieldsID="009d1b3d249573516ec7bd688f574baa" ns2:_="" ns3:_="">
    <xsd:import namespace="47a0b069-bb30-49cb-a8d0-75a5ef8ba8e4"/>
    <xsd:import namespace="5ee5fbc6-b92b-45c6-8df0-dcef31620f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0b069-bb30-49cb-a8d0-75a5ef8ba8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f7f94c5b-b625-4c57-ba88-29708602a6f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5fbc6-b92b-45c6-8df0-dcef31620f0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89a83d8-e3ea-483a-a2b4-0ea17a671d56}" ma:internalName="TaxCatchAll" ma:showField="CatchAllData" ma:web="5ee5fbc6-b92b-45c6-8df0-dcef31620f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92A9B5-51AE-4E9F-A33B-8EECA5982817}">
  <ds:schemaRefs>
    <ds:schemaRef ds:uri="http://schemas.microsoft.com/office/2006/metadata/properties"/>
    <ds:schemaRef ds:uri="http://schemas.microsoft.com/office/infopath/2007/PartnerControls"/>
    <ds:schemaRef ds:uri="5ee5fbc6-b92b-45c6-8df0-dcef31620f0b"/>
    <ds:schemaRef ds:uri="47a0b069-bb30-49cb-a8d0-75a5ef8ba8e4"/>
  </ds:schemaRefs>
</ds:datastoreItem>
</file>

<file path=customXml/itemProps2.xml><?xml version="1.0" encoding="utf-8"?>
<ds:datastoreItem xmlns:ds="http://schemas.openxmlformats.org/officeDocument/2006/customXml" ds:itemID="{45121D7D-A685-42F1-92A0-7FCF0730169A}">
  <ds:schemaRefs>
    <ds:schemaRef ds:uri="http://schemas.microsoft.com/sharepoint/v3/contenttype/forms"/>
  </ds:schemaRefs>
</ds:datastoreItem>
</file>

<file path=customXml/itemProps3.xml><?xml version="1.0" encoding="utf-8"?>
<ds:datastoreItem xmlns:ds="http://schemas.openxmlformats.org/officeDocument/2006/customXml" ds:itemID="{D9E72659-9A78-4FCE-8E47-022C7AD7F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0b069-bb30-49cb-a8d0-75a5ef8ba8e4"/>
    <ds:schemaRef ds:uri="5ee5fbc6-b92b-45c6-8df0-dcef31620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1246</Words>
  <Characters>6610</Characters>
  <Application>Microsoft Office Word</Application>
  <DocSecurity>0</DocSecurity>
  <Lines>55</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Holth Dybwad</dc:creator>
  <cp:keywords/>
  <dc:description/>
  <cp:lastModifiedBy>Marianne Holth Dybwad</cp:lastModifiedBy>
  <cp:revision>3</cp:revision>
  <dcterms:created xsi:type="dcterms:W3CDTF">2026-03-19T19:37:00Z</dcterms:created>
  <dcterms:modified xsi:type="dcterms:W3CDTF">2026-03-19T19:53:00Z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0x0101005ACF20C1DE6AC44BBD8452C513327875</vt:lpwstr>
  </property>
  <property fmtid="{D5CDD505-2E9C-101B-9397-08002B2CF9AE}" pid="3" name="MediaServiceImageTags">
    <vt:lpwstr/>
  </property>
</Properties>
</file>