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636B" w14:textId="0C28743E" w:rsidR="00F74D34" w:rsidRDefault="00913B27">
      <w:pPr>
        <w:rPr>
          <w:b/>
          <w:bCs/>
          <w:u w:val="single"/>
        </w:rPr>
      </w:pPr>
      <w:r>
        <w:rPr>
          <w:b/>
          <w:bCs/>
          <w:u w:val="single"/>
        </w:rPr>
        <w:t>Innspill Helsereformutvalget – fra tilsynssatsing eldre</w:t>
      </w:r>
    </w:p>
    <w:p w14:paraId="7817D9D5" w14:textId="4033D956" w:rsidR="00913B27" w:rsidRPr="00D20A58" w:rsidRDefault="00913B27" w:rsidP="00F20DEA">
      <w:pPr>
        <w:rPr>
          <w:i/>
          <w:iCs/>
        </w:rPr>
      </w:pPr>
      <w:r w:rsidRPr="00B2627A">
        <w:rPr>
          <w:i/>
          <w:iCs/>
        </w:rPr>
        <w:t>Innspill gitt 15.10.25</w:t>
      </w:r>
      <w:r w:rsidR="00B2627A" w:rsidRPr="00B2627A">
        <w:rPr>
          <w:i/>
          <w:iCs/>
        </w:rPr>
        <w:t>, etter bestilling om overordnede punkter:</w:t>
      </w:r>
    </w:p>
    <w:p w14:paraId="0741EFD5" w14:textId="6261760D" w:rsidR="001E6378" w:rsidRDefault="001E6378" w:rsidP="00F20DEA">
      <w:r>
        <w:t xml:space="preserve">Helsetilsynet </w:t>
      </w:r>
      <w:r w:rsidR="00114C60">
        <w:t xml:space="preserve">har sammen med statsforvalterne igangsatt en fireårig </w:t>
      </w:r>
      <w:r w:rsidR="00EE4301">
        <w:t xml:space="preserve">tilsynssatsing på helse- og omsorgstjenester til eldre. </w:t>
      </w:r>
      <w:r w:rsidR="00254D6D">
        <w:t>Det blir stadig flere eldre</w:t>
      </w:r>
      <w:r w:rsidR="00B33BAB">
        <w:t>, og behovet for helse- og omsorgstjenester vil øke i årene fremover. Helsetilsyn</w:t>
      </w:r>
      <w:r w:rsidR="00E66946">
        <w:t xml:space="preserve">et mener det er stor fare for svikt i tjenestene til den eldre delen av befolkningen.  </w:t>
      </w:r>
    </w:p>
    <w:p w14:paraId="30E39133" w14:textId="77777777" w:rsidR="00D20A58" w:rsidRDefault="00D20A58" w:rsidP="00D20A58">
      <w:pPr>
        <w:rPr>
          <w:i/>
          <w:iCs/>
        </w:rPr>
      </w:pPr>
      <w:r>
        <w:t xml:space="preserve">Satsingens arbeid er forankret i formålsparagrafen i helsetilsynsloven § 1 </w:t>
      </w:r>
      <w:r w:rsidRPr="006F2337">
        <w:rPr>
          <w:i/>
          <w:iCs/>
        </w:rPr>
        <w:t>Lovens formål er å etablere et statlig tilsyn som bidrar til å styrke sikkerheten og kvaliteten i helse- og omsorgstjenesten og befolkningens tillit til helsepersonell og helse- og omsorgstjenesten.</w:t>
      </w:r>
    </w:p>
    <w:p w14:paraId="2F462419" w14:textId="7032A1CD" w:rsidR="00D20A58" w:rsidRDefault="00D20A58" w:rsidP="00F20DEA">
      <w:r>
        <w:t xml:space="preserve">Eldresatsingen følger planperioden for nasjonal helse- og samhandlingsplan 2024 – 2027. I løpet av planperioden skal eldresatsingen samle tilsynserfaringer om helse- og omsorgstjenester, og analysere og gi anbefalinger slik at vesentlige innsikter fra tilsynserfaringene er et sentralt grunnlag for arbeidet med neste plan. </w:t>
      </w:r>
    </w:p>
    <w:p w14:paraId="5FC44C1B" w14:textId="5FFBDE5D" w:rsidR="008A046D" w:rsidRDefault="008A046D" w:rsidP="00F20DEA">
      <w:r>
        <w:t xml:space="preserve">Tilsynssatsingen har som mål å bidra til at den enkelte eldre får trygge og gode tjenester, styrke sikkerhet og kvalitet i virksomhetene og befolkningens tillit til helse- og omsorgstjenestene. </w:t>
      </w:r>
      <w:r w:rsidR="005006AE">
        <w:t xml:space="preserve">Satsingen </w:t>
      </w:r>
      <w:r w:rsidR="00CA5727">
        <w:t xml:space="preserve">skal være kunnskapsbasert, </w:t>
      </w:r>
      <w:r w:rsidR="00AC27D2">
        <w:t>den skal romme et mangfold av tilsynsmetoder</w:t>
      </w:r>
      <w:r w:rsidR="005A37EF">
        <w:t xml:space="preserve"> og </w:t>
      </w:r>
      <w:r w:rsidR="00AC27D2">
        <w:t xml:space="preserve">den skal involvere brukere, pasienter og pårørende, samt fagpersoner og ledere. </w:t>
      </w:r>
      <w:r w:rsidR="005A37EF">
        <w:t xml:space="preserve">Satsingen skal også bidra til å utvikle sektoren. </w:t>
      </w:r>
    </w:p>
    <w:p w14:paraId="37F0B91F" w14:textId="77777777" w:rsidR="003505AF" w:rsidRDefault="00161CF0" w:rsidP="00F20DEA">
      <w:r>
        <w:t>Som del av tilsynssatsingen har Helsetilsynet g</w:t>
      </w:r>
      <w:r w:rsidR="00EF619A">
        <w:t>jennomg</w:t>
      </w:r>
      <w:r>
        <w:t>ått</w:t>
      </w:r>
      <w:r w:rsidR="009D3627">
        <w:t xml:space="preserve"> data og</w:t>
      </w:r>
      <w:r w:rsidR="00EF619A">
        <w:t xml:space="preserve"> tilsynsfunn </w:t>
      </w:r>
      <w:r w:rsidR="004B4004">
        <w:t xml:space="preserve">(2018-2023) </w:t>
      </w:r>
      <w:r w:rsidR="00EF619A">
        <w:t>fra tilsyn med helse- og omsorgstjenester til eldre</w:t>
      </w:r>
      <w:r w:rsidR="000F5D66">
        <w:t xml:space="preserve">. Dataene inkluderer håndtering av varsler om alvorlige hendelser, behandling av rettighetsklager og tilsynssaker, samt rapporter fra planlagte tilsyn og andre tilsynsaktiviteter. </w:t>
      </w:r>
      <w:r w:rsidR="00956833">
        <w:t xml:space="preserve">Det er også gjennomført strukturerte intervjuer med statsforvalterne, samt </w:t>
      </w:r>
      <w:r w:rsidR="00396363">
        <w:t xml:space="preserve">at det er </w:t>
      </w:r>
      <w:r w:rsidR="00956833">
        <w:t xml:space="preserve">etablert </w:t>
      </w:r>
      <w:r w:rsidR="00396363">
        <w:t xml:space="preserve">et </w:t>
      </w:r>
      <w:r w:rsidR="00956833">
        <w:t>fagpanel bestående av helsepersonell med særskilt kompetanse innen</w:t>
      </w:r>
      <w:r w:rsidR="00396363">
        <w:t xml:space="preserve"> helse- og omsorgstjenester til eldre. Satsingen har også fått innspill og </w:t>
      </w:r>
      <w:r w:rsidR="003505AF">
        <w:t xml:space="preserve">erfaringer </w:t>
      </w:r>
      <w:r w:rsidR="00396363">
        <w:t xml:space="preserve">fra Helsetilsynets brukerråd. </w:t>
      </w:r>
    </w:p>
    <w:p w14:paraId="71DA2D58" w14:textId="6AC2B90D" w:rsidR="00F20DEA" w:rsidRDefault="003505AF" w:rsidP="00F20DEA">
      <w:r>
        <w:t xml:space="preserve">Samlet sett </w:t>
      </w:r>
      <w:r w:rsidR="00B2068B">
        <w:t xml:space="preserve">har Helsetilsynet definert følgende </w:t>
      </w:r>
      <w:r w:rsidR="00EF619A">
        <w:t>risikoområder:</w:t>
      </w:r>
    </w:p>
    <w:p w14:paraId="0C2334B5" w14:textId="67272816" w:rsidR="00EF619A" w:rsidRDefault="00EC1D79" w:rsidP="00EF619A">
      <w:pPr>
        <w:pStyle w:val="Listeavsnitt"/>
        <w:numPr>
          <w:ilvl w:val="0"/>
          <w:numId w:val="2"/>
        </w:numPr>
      </w:pPr>
      <w:r>
        <w:t>I spesialisthelsetjenesten er risikoen knyttet ti</w:t>
      </w:r>
      <w:r w:rsidR="00154FC0">
        <w:t>l:</w:t>
      </w:r>
    </w:p>
    <w:p w14:paraId="14B48BB5" w14:textId="0918AC39" w:rsidR="00154FC0" w:rsidRDefault="00154FC0" w:rsidP="00154FC0">
      <w:pPr>
        <w:pStyle w:val="Listeavsnitt"/>
        <w:numPr>
          <w:ilvl w:val="1"/>
          <w:numId w:val="2"/>
        </w:numPr>
      </w:pPr>
      <w:r>
        <w:t xml:space="preserve">En fragmentert og høyspesialisert tjeneste som står i fare for å ikke fange opp skrøpelige eldres helhetlige behov </w:t>
      </w:r>
    </w:p>
    <w:p w14:paraId="6A079B70" w14:textId="2001874C" w:rsidR="00A903DC" w:rsidRDefault="00461E63" w:rsidP="00A903DC">
      <w:pPr>
        <w:pStyle w:val="Listeavsnitt"/>
        <w:numPr>
          <w:ilvl w:val="1"/>
          <w:numId w:val="2"/>
        </w:numPr>
      </w:pPr>
      <w:r>
        <w:t>Helsepersonell har b</w:t>
      </w:r>
      <w:r w:rsidR="00154FC0">
        <w:t xml:space="preserve">ehov for grunnleggende geriatrisk kompetanse </w:t>
      </w:r>
    </w:p>
    <w:p w14:paraId="3E89EABF" w14:textId="0103345C" w:rsidR="00A903DC" w:rsidRDefault="00301952" w:rsidP="00A903DC">
      <w:pPr>
        <w:pStyle w:val="Listeavsnitt"/>
        <w:numPr>
          <w:ilvl w:val="1"/>
          <w:numId w:val="2"/>
        </w:numPr>
      </w:pPr>
      <w:r>
        <w:t>Behov for samhandling og plan ved utskrivelse av eldre pasienter til hjemmet eller kommunale tilbud</w:t>
      </w:r>
    </w:p>
    <w:p w14:paraId="5909B31D" w14:textId="61561B10" w:rsidR="00301952" w:rsidRDefault="00481DE1" w:rsidP="00A903DC">
      <w:pPr>
        <w:pStyle w:val="Listeavsnitt"/>
        <w:numPr>
          <w:ilvl w:val="1"/>
          <w:numId w:val="2"/>
        </w:numPr>
      </w:pPr>
      <w:r>
        <w:t xml:space="preserve">Legemiddelbehandling, spesielt i overgangen mellom sykehus og kommune </w:t>
      </w:r>
    </w:p>
    <w:p w14:paraId="5C8C8965" w14:textId="42CC9499" w:rsidR="00604F32" w:rsidRDefault="00604F32" w:rsidP="00A903DC">
      <w:pPr>
        <w:pStyle w:val="Listeavsnitt"/>
        <w:numPr>
          <w:ilvl w:val="1"/>
          <w:numId w:val="2"/>
        </w:numPr>
      </w:pPr>
      <w:r>
        <w:t>Spesialisthelsetjenesten må forebygge digitalt utenforskap</w:t>
      </w:r>
    </w:p>
    <w:p w14:paraId="5734E719" w14:textId="524DA011" w:rsidR="00481DE1" w:rsidRDefault="00481DE1" w:rsidP="00481DE1">
      <w:pPr>
        <w:pStyle w:val="Listeavsnitt"/>
        <w:numPr>
          <w:ilvl w:val="0"/>
          <w:numId w:val="2"/>
        </w:numPr>
      </w:pPr>
      <w:r>
        <w:t xml:space="preserve">I kommunehelsetjenesten </w:t>
      </w:r>
      <w:r w:rsidR="007C23AB">
        <w:t xml:space="preserve">peker følgende områder seg ut: </w:t>
      </w:r>
    </w:p>
    <w:p w14:paraId="086BA727" w14:textId="6BFB145B" w:rsidR="007C23AB" w:rsidRDefault="007C23AB" w:rsidP="007C23AB">
      <w:pPr>
        <w:pStyle w:val="Listeavsnitt"/>
        <w:numPr>
          <w:ilvl w:val="1"/>
          <w:numId w:val="2"/>
        </w:numPr>
      </w:pPr>
      <w:r>
        <w:t>Stor og uønsket variasjon mellom kommunene i kvaliteten på tjenestene</w:t>
      </w:r>
    </w:p>
    <w:p w14:paraId="7602D35E" w14:textId="33BE6FEE" w:rsidR="007C23AB" w:rsidRDefault="007C23AB" w:rsidP="007C23AB">
      <w:pPr>
        <w:pStyle w:val="Listeavsnitt"/>
        <w:numPr>
          <w:ilvl w:val="1"/>
          <w:numId w:val="2"/>
        </w:numPr>
      </w:pPr>
      <w:r>
        <w:t>Mangel på helhetlig tjenestetilbud</w:t>
      </w:r>
    </w:p>
    <w:p w14:paraId="373328E1" w14:textId="4F8100D9" w:rsidR="007C23AB" w:rsidRDefault="007C23AB" w:rsidP="007C23AB">
      <w:pPr>
        <w:pStyle w:val="Listeavsnitt"/>
        <w:numPr>
          <w:ilvl w:val="1"/>
          <w:numId w:val="2"/>
        </w:numPr>
      </w:pPr>
      <w:r>
        <w:t>Svikt i styring og ledelse</w:t>
      </w:r>
    </w:p>
    <w:p w14:paraId="625CE172" w14:textId="7CB942A0" w:rsidR="007C23AB" w:rsidRDefault="007C23AB" w:rsidP="007C23AB">
      <w:pPr>
        <w:pStyle w:val="Listeavsnitt"/>
        <w:numPr>
          <w:ilvl w:val="1"/>
          <w:numId w:val="2"/>
        </w:numPr>
      </w:pPr>
      <w:r>
        <w:t>Mangel på kompetanse</w:t>
      </w:r>
    </w:p>
    <w:p w14:paraId="63FBA178" w14:textId="528FF9E9" w:rsidR="007C23AB" w:rsidRDefault="007C23AB" w:rsidP="007C23AB">
      <w:pPr>
        <w:pStyle w:val="Listeavsnitt"/>
        <w:numPr>
          <w:ilvl w:val="1"/>
          <w:numId w:val="2"/>
        </w:numPr>
      </w:pPr>
      <w:r>
        <w:t xml:space="preserve">Velferdsteknologi må være tilpasset brukerne </w:t>
      </w:r>
    </w:p>
    <w:p w14:paraId="69B325A1" w14:textId="604E04EA" w:rsidR="003E2C2F" w:rsidRDefault="003E2C2F" w:rsidP="003E2C2F">
      <w:r>
        <w:t xml:space="preserve">For mer informasjon om kunnskapsoppsummeringene som er gjort, se: </w:t>
      </w:r>
      <w:hyperlink r:id="rId8" w:history="1">
        <w:r w:rsidRPr="00F01A78">
          <w:rPr>
            <w:rStyle w:val="Hyperkobling"/>
          </w:rPr>
          <w:t>https://www.helsetilsynet.no/tilsyn/landsomfattende-tilsyn/landsomfattende-tilsyn-helse-og-omsorgstjenester/2024-2027-tilsynssatsing-paa-helse-og-omsorgstjenester-til-eldre/</w:t>
        </w:r>
      </w:hyperlink>
      <w:r>
        <w:t xml:space="preserve"> </w:t>
      </w:r>
    </w:p>
    <w:p w14:paraId="28A62A1B" w14:textId="25E64BCA" w:rsidR="003E2C2F" w:rsidRDefault="001C339C" w:rsidP="003E2C2F">
      <w:r>
        <w:lastRenderedPageBreak/>
        <w:t>Tilsynssatsing eldre 2024-2027 inneholder ulike tilsyn og aktiviteter</w:t>
      </w:r>
      <w:r w:rsidR="00E7070B">
        <w:t xml:space="preserve"> rettet mot både kommunale helse- og omsorgstjenester og spesialisthelsetjenesten</w:t>
      </w:r>
      <w:r w:rsidR="00704DC2">
        <w:t xml:space="preserve">. </w:t>
      </w:r>
      <w:r w:rsidR="00B842D8">
        <w:t>Arbeidet med de respektive tilsynene er organisert i følgende tre arbeidsgrupper:</w:t>
      </w:r>
    </w:p>
    <w:p w14:paraId="17B859DD" w14:textId="16D7FBFC" w:rsidR="00B842D8" w:rsidRDefault="00B842D8" w:rsidP="00B842D8">
      <w:pPr>
        <w:pStyle w:val="Listeavsnitt"/>
        <w:numPr>
          <w:ilvl w:val="0"/>
          <w:numId w:val="2"/>
        </w:numPr>
      </w:pPr>
      <w:r>
        <w:t xml:space="preserve">Tilsyn med </w:t>
      </w:r>
      <w:r w:rsidR="00D9287C">
        <w:t>bruk av elektronisk medisineringsstøtte (medisindispensere) hos hjemmeboende eldre</w:t>
      </w:r>
      <w:r w:rsidR="00CF6903">
        <w:t xml:space="preserve"> (avsluttet)</w:t>
      </w:r>
    </w:p>
    <w:p w14:paraId="272CB3D0" w14:textId="5A39F810" w:rsidR="00D9287C" w:rsidRDefault="00D9287C" w:rsidP="00B842D8">
      <w:pPr>
        <w:pStyle w:val="Listeavsnitt"/>
        <w:numPr>
          <w:ilvl w:val="0"/>
          <w:numId w:val="2"/>
        </w:numPr>
      </w:pPr>
      <w:r>
        <w:t>Tilsyn med kommunens ivaretakelse av grunnleggende behov hos hjemmeboende eldre</w:t>
      </w:r>
      <w:r w:rsidR="00CF6903">
        <w:t xml:space="preserve"> (pågående)</w:t>
      </w:r>
    </w:p>
    <w:p w14:paraId="69B780C7" w14:textId="14642098" w:rsidR="00D9287C" w:rsidRDefault="00D9287C" w:rsidP="00B842D8">
      <w:pPr>
        <w:pStyle w:val="Listeavsnitt"/>
        <w:numPr>
          <w:ilvl w:val="0"/>
          <w:numId w:val="2"/>
        </w:numPr>
      </w:pPr>
      <w:r>
        <w:t>Tilsyn med delirium hos eldre pasienter i sykehus</w:t>
      </w:r>
      <w:r w:rsidR="00CF6903">
        <w:t xml:space="preserve"> (planleggingsfase) </w:t>
      </w:r>
    </w:p>
    <w:p w14:paraId="23B014A4" w14:textId="78A54199" w:rsidR="00704DC2" w:rsidRDefault="00704DC2" w:rsidP="003E2C2F">
      <w:r>
        <w:t xml:space="preserve">Foreløpige tilsynsfunn </w:t>
      </w:r>
      <w:r w:rsidR="00EC54B0">
        <w:t xml:space="preserve">omhandler bruk av medisindispensere hos hjemmeboende eldre og </w:t>
      </w:r>
      <w:r w:rsidR="004053A4">
        <w:t>kommunens ivaretakelse av hjemmeboende eldres grunnleggende behov.</w:t>
      </w:r>
      <w:r w:rsidR="006D7C86">
        <w:t xml:space="preserve"> For tilsynet med ivaretakelse av grunnleggende behov er ikke systemrevisjonene ferdigstilt eller oppsummert, men </w:t>
      </w:r>
      <w:r w:rsidR="007B3022">
        <w:t>vi har funn fra en landsomfattende spørreundersøkelse om temaet</w:t>
      </w:r>
      <w:r w:rsidR="00BC2948">
        <w:t xml:space="preserve">, hvor 90,3% av kommunene har svart. </w:t>
      </w:r>
    </w:p>
    <w:p w14:paraId="687A8AD4" w14:textId="0AB5FFBA" w:rsidR="004053A4" w:rsidRDefault="00552AC9" w:rsidP="004053A4">
      <w:pPr>
        <w:pStyle w:val="Listeavsnitt"/>
        <w:numPr>
          <w:ilvl w:val="0"/>
          <w:numId w:val="2"/>
        </w:numPr>
      </w:pPr>
      <w:r>
        <w:t xml:space="preserve">Fra tilsyn med bruk av </w:t>
      </w:r>
      <w:r w:rsidR="00F01080">
        <w:t xml:space="preserve">medisindispensere ser Helsetilsynet at det forekommer variasjon i praksis og i hvordan informasjon fra observasjoner og vurderinger formidles. </w:t>
      </w:r>
      <w:r w:rsidR="000D124E">
        <w:t xml:space="preserve">Det kan være uklar ansvars- og oppgavefordeling, og kommunene legger ikke til rette for god faglig praksis. Mange kommuner har også mangelfull kontroll med egne tjenester. </w:t>
      </w:r>
    </w:p>
    <w:p w14:paraId="068113A1" w14:textId="3CD14B48" w:rsidR="000D124E" w:rsidRDefault="005D30CB" w:rsidP="004053A4">
      <w:pPr>
        <w:pStyle w:val="Listeavsnitt"/>
        <w:numPr>
          <w:ilvl w:val="0"/>
          <w:numId w:val="2"/>
        </w:numPr>
      </w:pPr>
      <w:r>
        <w:t xml:space="preserve">Funn fra spørreundersøkelsen om kommunenes ivaretakelse av grunnleggende behov hos hjemmeboende eldre viser at det er risiko </w:t>
      </w:r>
      <w:r w:rsidR="004673B7">
        <w:t xml:space="preserve">for at forverring i helse- og funksjonsnivå ikke oppdages i tide. Risikoen </w:t>
      </w:r>
      <w:r w:rsidR="00640F5F">
        <w:t>kommer av at flere sentrale områder kartlegges i for liten grad, tiltaksplanene mangler vesentlig innhold, pårørende involveres i for liten grad</w:t>
      </w:r>
      <w:r w:rsidR="004F369B">
        <w:t xml:space="preserve"> og</w:t>
      </w:r>
      <w:r w:rsidR="00640F5F">
        <w:t xml:space="preserve"> det er ikke alltid nok sykepleiekompetanse på vakt</w:t>
      </w:r>
      <w:r w:rsidR="004F369B">
        <w:t>. Funnene indikerer også at manglende kompetanse kan føre til sen oppdagelse av forverring</w:t>
      </w:r>
      <w:r w:rsidR="00864C75">
        <w:t xml:space="preserve">, og informasjon fra fastlegene tilfaller ikke alltid hjemmetjenesten. </w:t>
      </w:r>
    </w:p>
    <w:p w14:paraId="172C9417" w14:textId="46E33F98" w:rsidR="00EC3A83" w:rsidRPr="00913B27" w:rsidRDefault="00EC3A83" w:rsidP="004053A4">
      <w:pPr>
        <w:pStyle w:val="Listeavsnitt"/>
        <w:numPr>
          <w:ilvl w:val="0"/>
          <w:numId w:val="2"/>
        </w:numPr>
      </w:pPr>
      <w:r>
        <w:t xml:space="preserve">Tilsyn i spesialisthelsetjenesten går inn i siste fase av planleggingen, og </w:t>
      </w:r>
      <w:r w:rsidR="00094340">
        <w:t xml:space="preserve">det legges opp til </w:t>
      </w:r>
      <w:r w:rsidR="0057479B">
        <w:t>oppstartssamling</w:t>
      </w:r>
      <w:r w:rsidR="00094340">
        <w:t xml:space="preserve"> med statsforvalterne 5. og 6.11.</w:t>
      </w:r>
      <w:r w:rsidR="0057479B">
        <w:t xml:space="preserve">25. </w:t>
      </w:r>
      <w:r w:rsidR="00094340">
        <w:t xml:space="preserve"> </w:t>
      </w:r>
    </w:p>
    <w:sectPr w:rsidR="00EC3A83" w:rsidRPr="0091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AB5"/>
    <w:multiLevelType w:val="hybridMultilevel"/>
    <w:tmpl w:val="F5C65EAC"/>
    <w:lvl w:ilvl="0" w:tplc="2F1C8C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A69"/>
    <w:multiLevelType w:val="hybridMultilevel"/>
    <w:tmpl w:val="6C5EE894"/>
    <w:lvl w:ilvl="0" w:tplc="48A65D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187216">
    <w:abstractNumId w:val="0"/>
  </w:num>
  <w:num w:numId="2" w16cid:durableId="199945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B1"/>
    <w:rsid w:val="00022B2F"/>
    <w:rsid w:val="0007438B"/>
    <w:rsid w:val="00094340"/>
    <w:rsid w:val="000D124E"/>
    <w:rsid w:val="000F5D66"/>
    <w:rsid w:val="00114C60"/>
    <w:rsid w:val="00154FC0"/>
    <w:rsid w:val="00161CF0"/>
    <w:rsid w:val="001C339C"/>
    <w:rsid w:val="001C6EB0"/>
    <w:rsid w:val="001E6378"/>
    <w:rsid w:val="00222CA8"/>
    <w:rsid w:val="00254D6D"/>
    <w:rsid w:val="00267716"/>
    <w:rsid w:val="00301952"/>
    <w:rsid w:val="00305D02"/>
    <w:rsid w:val="003505AF"/>
    <w:rsid w:val="00353665"/>
    <w:rsid w:val="00396363"/>
    <w:rsid w:val="003A6F2B"/>
    <w:rsid w:val="003B29AC"/>
    <w:rsid w:val="003E2C2F"/>
    <w:rsid w:val="004053A4"/>
    <w:rsid w:val="00461E63"/>
    <w:rsid w:val="004673B7"/>
    <w:rsid w:val="004704D7"/>
    <w:rsid w:val="00481DE1"/>
    <w:rsid w:val="004B4004"/>
    <w:rsid w:val="004F369B"/>
    <w:rsid w:val="005006AE"/>
    <w:rsid w:val="00552AC9"/>
    <w:rsid w:val="0057479B"/>
    <w:rsid w:val="0058512B"/>
    <w:rsid w:val="005A37EF"/>
    <w:rsid w:val="005D30CB"/>
    <w:rsid w:val="00604F32"/>
    <w:rsid w:val="00640F5F"/>
    <w:rsid w:val="006D7C86"/>
    <w:rsid w:val="00704DC2"/>
    <w:rsid w:val="007A1FDA"/>
    <w:rsid w:val="007B3022"/>
    <w:rsid w:val="007C23AB"/>
    <w:rsid w:val="008003B1"/>
    <w:rsid w:val="008355D3"/>
    <w:rsid w:val="00864C75"/>
    <w:rsid w:val="008A046D"/>
    <w:rsid w:val="008E71A4"/>
    <w:rsid w:val="00913B27"/>
    <w:rsid w:val="00956833"/>
    <w:rsid w:val="009873FB"/>
    <w:rsid w:val="009D3627"/>
    <w:rsid w:val="00A42893"/>
    <w:rsid w:val="00A903DC"/>
    <w:rsid w:val="00AC27D2"/>
    <w:rsid w:val="00AD5255"/>
    <w:rsid w:val="00AE5C59"/>
    <w:rsid w:val="00B05477"/>
    <w:rsid w:val="00B2068B"/>
    <w:rsid w:val="00B2627A"/>
    <w:rsid w:val="00B33BAB"/>
    <w:rsid w:val="00B842D8"/>
    <w:rsid w:val="00BC2948"/>
    <w:rsid w:val="00C53638"/>
    <w:rsid w:val="00C62EB1"/>
    <w:rsid w:val="00CA1DCE"/>
    <w:rsid w:val="00CA5727"/>
    <w:rsid w:val="00CA6942"/>
    <w:rsid w:val="00CF6903"/>
    <w:rsid w:val="00D17639"/>
    <w:rsid w:val="00D2070A"/>
    <w:rsid w:val="00D20A58"/>
    <w:rsid w:val="00D54C19"/>
    <w:rsid w:val="00D9287C"/>
    <w:rsid w:val="00E30814"/>
    <w:rsid w:val="00E4078F"/>
    <w:rsid w:val="00E66946"/>
    <w:rsid w:val="00E7070B"/>
    <w:rsid w:val="00EB4C41"/>
    <w:rsid w:val="00EC1D79"/>
    <w:rsid w:val="00EC3A83"/>
    <w:rsid w:val="00EC54B0"/>
    <w:rsid w:val="00ED5CF4"/>
    <w:rsid w:val="00EE4301"/>
    <w:rsid w:val="00EF619A"/>
    <w:rsid w:val="00F01080"/>
    <w:rsid w:val="00F20DEA"/>
    <w:rsid w:val="00F74D34"/>
    <w:rsid w:val="00FE4998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87BE"/>
  <w15:chartTrackingRefBased/>
  <w15:docId w15:val="{9F666823-B884-469F-A59D-B577FD91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2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2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2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2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2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2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2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2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2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2E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2E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2E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2E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2E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2EB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2EB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2EB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2EB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2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2EB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2EB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E2C2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E2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tilsynet.no/tilsyn/landsomfattende-tilsyn/landsomfattende-tilsyn-helse-og-omsorgstjenester/2024-2027-tilsynssatsing-paa-helse-og-omsorgstjenester-til-eld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4f225-3ebe-4463-bff1-04387f2873c4">
      <Terms xmlns="http://schemas.microsoft.com/office/infopath/2007/PartnerControls"/>
    </lcf76f155ced4ddcb4097134ff3c332f>
    <TaxCatchAll xmlns="d7eeda44-e70e-410e-9974-a695610ed47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EA85BA058CF498B694D816EF45C1E" ma:contentTypeVersion="14" ma:contentTypeDescription="Create a new document." ma:contentTypeScope="" ma:versionID="63bf14392c14425337baf87c75a389a2">
  <xsd:schema xmlns:xsd="http://www.w3.org/2001/XMLSchema" xmlns:xs="http://www.w3.org/2001/XMLSchema" xmlns:p="http://schemas.microsoft.com/office/2006/metadata/properties" xmlns:ns2="5bf4f225-3ebe-4463-bff1-04387f2873c4" xmlns:ns3="d7eeda44-e70e-410e-9974-a695610ed477" targetNamespace="http://schemas.microsoft.com/office/2006/metadata/properties" ma:root="true" ma:fieldsID="02d7d1b3573cd757c3bfa228e7f88b71" ns2:_="" ns3:_="">
    <xsd:import namespace="5bf4f225-3ebe-4463-bff1-04387f2873c4"/>
    <xsd:import namespace="d7eeda44-e70e-410e-9974-a695610ed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4f225-3ebe-4463-bff1-04387f287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01d00f-52d8-431a-abd5-31b1ad107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da44-e70e-410e-9974-a695610ed4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5afdd0-946d-42d6-98b3-1c6c08d8b305}" ma:internalName="TaxCatchAll" ma:showField="CatchAllData" ma:web="d7eeda44-e70e-410e-9974-a695610ed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7F069-621D-4C79-B107-914B19F1539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7eeda44-e70e-410e-9974-a695610ed477"/>
    <ds:schemaRef ds:uri="5bf4f225-3ebe-4463-bff1-04387f2873c4"/>
  </ds:schemaRefs>
</ds:datastoreItem>
</file>

<file path=customXml/itemProps2.xml><?xml version="1.0" encoding="utf-8"?>
<ds:datastoreItem xmlns:ds="http://schemas.openxmlformats.org/officeDocument/2006/customXml" ds:itemID="{690D5AB9-1493-4317-8FEC-516C6C1ED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689B0-4323-4D87-8ACB-F322C2D26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4f225-3ebe-4463-bff1-04387f2873c4"/>
    <ds:schemaRef ds:uri="d7eeda44-e70e-410e-9974-a695610e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822</Words>
  <Characters>4357</Characters>
  <Application>Microsoft Office Word</Application>
  <DocSecurity>0</DocSecurity>
  <Lines>36</Lines>
  <Paragraphs>10</Paragraphs>
  <ScaleCrop>false</ScaleCrop>
  <Company>Helsetilsynet</Company>
  <LinksUpToDate>false</LinksUpToDate>
  <CharactersWithSpaces>5169</CharactersWithSpaces>
  <SharedDoc>false</SharedDoc>
  <HLinks>
    <vt:vector size="6" baseType="variant"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https://www.helsetilsynet.no/tilsyn/landsomfattende-tilsyn/landsomfattende-tilsyn-helse-og-omsorgstjenester/2024-2027-tilsynssatsing-paa-helse-og-omsorgstjenester-til-eldre/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Johanne Grue</dc:creator>
  <cp:keywords/>
  <dc:description/>
  <cp:lastModifiedBy>Marthe Johanne Grue</cp:lastModifiedBy>
  <cp:revision>89</cp:revision>
  <dcterms:created xsi:type="dcterms:W3CDTF">2025-10-15T07:26:00Z</dcterms:created>
  <dcterms:modified xsi:type="dcterms:W3CDTF">2025-10-15T10:15:00Z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0x01010090DEA85BA058CF498B694D816EF45C1E</vt:lpwstr>
  </property>
  <property fmtid="{D5CDD505-2E9C-101B-9397-08002B2CF9AE}" pid="3" name="MediaServiceImageTags">
    <vt:lpwstr/>
  </property>
</Properties>
</file>