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0A83" w14:textId="77777777" w:rsidR="003F5A76" w:rsidRPr="006C6F9D" w:rsidRDefault="001D7A2B" w:rsidP="00EE4D0F">
      <w:pPr>
        <w:rPr>
          <w:rFonts w:ascii="Calibri" w:hAnsi="Calibri"/>
          <w:b/>
          <w:sz w:val="32"/>
          <w:szCs w:val="32"/>
        </w:rPr>
      </w:pPr>
      <w:r w:rsidRPr="006C6F9D">
        <w:rPr>
          <w:rFonts w:ascii="Calibri" w:hAnsi="Calibri"/>
          <w:b/>
          <w:sz w:val="32"/>
          <w:szCs w:val="32"/>
        </w:rPr>
        <w:t>UNDERLAG FÖR PRIORITERING</w:t>
      </w:r>
    </w:p>
    <w:p w14:paraId="7118491C" w14:textId="77777777" w:rsidR="0013411F" w:rsidRPr="00B424D4" w:rsidRDefault="0013411F" w:rsidP="00EE4D0F">
      <w:pPr>
        <w:rPr>
          <w:rFonts w:ascii="Calibri" w:hAnsi="Calibri"/>
        </w:rPr>
      </w:pPr>
    </w:p>
    <w:p w14:paraId="4BB9AB63" w14:textId="77777777" w:rsidR="0013411F" w:rsidRPr="00B424D4" w:rsidRDefault="0013411F" w:rsidP="00EE4D0F">
      <w:pPr>
        <w:rPr>
          <w:rFonts w:ascii="Calibri" w:hAnsi="Calibri"/>
        </w:rPr>
      </w:pPr>
    </w:p>
    <w:tbl>
      <w:tblPr>
        <w:tblStyle w:val="Tabellrutenett"/>
        <w:tblW w:w="9212" w:type="dxa"/>
        <w:tblInd w:w="108" w:type="dxa"/>
        <w:tblLook w:val="04A0" w:firstRow="1" w:lastRow="0" w:firstColumn="1" w:lastColumn="0" w:noHBand="0" w:noVBand="1"/>
      </w:tblPr>
      <w:tblGrid>
        <w:gridCol w:w="2892"/>
        <w:gridCol w:w="4486"/>
        <w:gridCol w:w="1834"/>
      </w:tblGrid>
      <w:tr w:rsidR="006D6F53" w14:paraId="6AC519EC" w14:textId="77777777" w:rsidTr="0051542F">
        <w:tc>
          <w:tcPr>
            <w:tcW w:w="2864" w:type="dxa"/>
          </w:tcPr>
          <w:p w14:paraId="2CF0C451" w14:textId="77777777" w:rsidR="0013411F" w:rsidRPr="00B424D4" w:rsidRDefault="001D7A2B" w:rsidP="0013411F">
            <w:pPr>
              <w:jc w:val="left"/>
              <w:rPr>
                <w:rFonts w:ascii="Calibri" w:hAnsi="Calibri"/>
                <w:b/>
                <w:sz w:val="22"/>
                <w:szCs w:val="22"/>
              </w:rPr>
            </w:pPr>
            <w:r w:rsidRPr="00B424D4">
              <w:rPr>
                <w:rFonts w:ascii="Calibri" w:hAnsi="Calibri"/>
                <w:b/>
                <w:sz w:val="22"/>
                <w:szCs w:val="22"/>
              </w:rPr>
              <w:t>Projektnamn</w:t>
            </w:r>
          </w:p>
        </w:tc>
        <w:tc>
          <w:tcPr>
            <w:tcW w:w="6348" w:type="dxa"/>
            <w:gridSpan w:val="2"/>
          </w:tcPr>
          <w:p w14:paraId="2BA8189D" w14:textId="77777777" w:rsidR="0013411F" w:rsidRPr="00B424D4" w:rsidRDefault="001D7A2B" w:rsidP="0013411F">
            <w:pPr>
              <w:jc w:val="left"/>
              <w:rPr>
                <w:rFonts w:ascii="Calibri" w:hAnsi="Calibri"/>
                <w:b/>
                <w:sz w:val="22"/>
                <w:szCs w:val="22"/>
              </w:rPr>
            </w:pPr>
            <w:r>
              <w:rPr>
                <w:rFonts w:ascii="Calibri" w:hAnsi="Calibri"/>
                <w:b/>
                <w:sz w:val="22"/>
                <w:szCs w:val="22"/>
              </w:rPr>
              <w:t>FUSMON - Sensorfusion för smartare hälsomonitorering</w:t>
            </w:r>
          </w:p>
        </w:tc>
      </w:tr>
      <w:tr w:rsidR="006D6F53" w14:paraId="16421AD1" w14:textId="77777777" w:rsidTr="0051542F">
        <w:tc>
          <w:tcPr>
            <w:tcW w:w="2864" w:type="dxa"/>
          </w:tcPr>
          <w:p w14:paraId="2680593D" w14:textId="77777777" w:rsidR="0013411F" w:rsidRPr="00B424D4" w:rsidRDefault="001D7A2B" w:rsidP="0013411F">
            <w:pPr>
              <w:jc w:val="left"/>
              <w:rPr>
                <w:rFonts w:ascii="Calibri" w:hAnsi="Calibri"/>
                <w:b/>
                <w:sz w:val="22"/>
                <w:szCs w:val="22"/>
              </w:rPr>
            </w:pPr>
            <w:r>
              <w:rPr>
                <w:rFonts w:ascii="Calibri" w:hAnsi="Calibri"/>
                <w:b/>
                <w:sz w:val="22"/>
                <w:szCs w:val="22"/>
              </w:rPr>
              <w:t>Prioritering</w:t>
            </w:r>
          </w:p>
        </w:tc>
        <w:tc>
          <w:tcPr>
            <w:tcW w:w="6348" w:type="dxa"/>
            <w:gridSpan w:val="2"/>
          </w:tcPr>
          <w:p w14:paraId="24EC3F38" w14:textId="77777777" w:rsidR="0013411F" w:rsidRPr="00B424D4" w:rsidRDefault="001D7A2B" w:rsidP="0013411F">
            <w:pPr>
              <w:jc w:val="left"/>
              <w:rPr>
                <w:rFonts w:ascii="Calibri" w:hAnsi="Calibri"/>
                <w:sz w:val="22"/>
                <w:szCs w:val="22"/>
              </w:rPr>
            </w:pPr>
            <w:r>
              <w:rPr>
                <w:rFonts w:ascii="Calibri" w:hAnsi="Calibri"/>
                <w:sz w:val="22"/>
                <w:szCs w:val="22"/>
              </w:rPr>
              <w:t xml:space="preserve">En smartare gränsregion </w:t>
            </w:r>
          </w:p>
        </w:tc>
      </w:tr>
      <w:tr w:rsidR="006D6F53" w14:paraId="64CAF848" w14:textId="77777777" w:rsidTr="0051542F">
        <w:tc>
          <w:tcPr>
            <w:tcW w:w="2864" w:type="dxa"/>
          </w:tcPr>
          <w:p w14:paraId="010B84BE" w14:textId="77777777" w:rsidR="0013411F" w:rsidRPr="00B424D4" w:rsidRDefault="001D7A2B" w:rsidP="0013411F">
            <w:pPr>
              <w:jc w:val="left"/>
              <w:rPr>
                <w:rFonts w:ascii="Calibri" w:hAnsi="Calibri"/>
                <w:b/>
                <w:sz w:val="22"/>
                <w:szCs w:val="22"/>
              </w:rPr>
            </w:pPr>
            <w:r w:rsidRPr="00B424D4">
              <w:rPr>
                <w:rFonts w:ascii="Calibri" w:hAnsi="Calibri"/>
                <w:b/>
                <w:sz w:val="22"/>
                <w:szCs w:val="22"/>
              </w:rPr>
              <w:t>Specifikt mål</w:t>
            </w:r>
          </w:p>
        </w:tc>
        <w:tc>
          <w:tcPr>
            <w:tcW w:w="6348" w:type="dxa"/>
            <w:gridSpan w:val="2"/>
          </w:tcPr>
          <w:p w14:paraId="31F02512" w14:textId="77777777" w:rsidR="0013411F" w:rsidRPr="00B424D4" w:rsidRDefault="001D7A2B" w:rsidP="0013411F">
            <w:pPr>
              <w:jc w:val="left"/>
              <w:rPr>
                <w:rFonts w:ascii="Calibri" w:hAnsi="Calibri"/>
                <w:sz w:val="22"/>
                <w:szCs w:val="22"/>
              </w:rPr>
            </w:pPr>
            <w:r>
              <w:rPr>
                <w:rFonts w:ascii="Calibri" w:hAnsi="Calibri"/>
                <w:sz w:val="22"/>
                <w:szCs w:val="22"/>
              </w:rPr>
              <w:t>Utveckla och förbättra forsknings- och innovationskapaciteten och användningen av avancerad teknik</w:t>
            </w:r>
          </w:p>
        </w:tc>
      </w:tr>
      <w:tr w:rsidR="006D6F53" w14:paraId="05FCB6FE" w14:textId="77777777" w:rsidTr="0051542F">
        <w:tc>
          <w:tcPr>
            <w:tcW w:w="2864" w:type="dxa"/>
          </w:tcPr>
          <w:p w14:paraId="59A3D834" w14:textId="77777777" w:rsidR="0013411F" w:rsidRPr="00B424D4" w:rsidRDefault="001D7A2B" w:rsidP="0013411F">
            <w:pPr>
              <w:jc w:val="left"/>
              <w:rPr>
                <w:rFonts w:ascii="Calibri" w:hAnsi="Calibri"/>
                <w:b/>
                <w:sz w:val="22"/>
                <w:szCs w:val="22"/>
              </w:rPr>
            </w:pPr>
            <w:r w:rsidRPr="00B424D4">
              <w:rPr>
                <w:rFonts w:ascii="Calibri" w:hAnsi="Calibri"/>
                <w:b/>
                <w:sz w:val="22"/>
                <w:szCs w:val="22"/>
              </w:rPr>
              <w:t>Projektperiod</w:t>
            </w:r>
          </w:p>
        </w:tc>
        <w:tc>
          <w:tcPr>
            <w:tcW w:w="6348" w:type="dxa"/>
            <w:gridSpan w:val="2"/>
          </w:tcPr>
          <w:p w14:paraId="7DAA3694" w14:textId="198BB52E" w:rsidR="0013411F" w:rsidRPr="00B424D4" w:rsidRDefault="00CB1790" w:rsidP="000B26D6">
            <w:pPr>
              <w:jc w:val="left"/>
              <w:rPr>
                <w:rFonts w:ascii="Calibri" w:hAnsi="Calibri"/>
                <w:sz w:val="22"/>
                <w:szCs w:val="22"/>
              </w:rPr>
            </w:pPr>
            <w:r>
              <w:rPr>
                <w:rFonts w:ascii="Calibri" w:hAnsi="Calibri"/>
                <w:sz w:val="22"/>
                <w:szCs w:val="22"/>
              </w:rPr>
              <w:t xml:space="preserve">1 april </w:t>
            </w:r>
            <w:r w:rsidR="001D7A2B">
              <w:rPr>
                <w:rFonts w:ascii="Calibri" w:hAnsi="Calibri"/>
                <w:sz w:val="22"/>
                <w:szCs w:val="22"/>
              </w:rPr>
              <w:t>2026</w:t>
            </w:r>
            <w:r w:rsidR="000B26D6" w:rsidRPr="00B424D4">
              <w:rPr>
                <w:rFonts w:ascii="Calibri" w:hAnsi="Calibri"/>
                <w:sz w:val="22"/>
                <w:szCs w:val="22"/>
              </w:rPr>
              <w:t xml:space="preserve"> </w:t>
            </w:r>
            <w:r>
              <w:rPr>
                <w:rFonts w:ascii="Calibri" w:hAnsi="Calibri"/>
                <w:sz w:val="22"/>
                <w:szCs w:val="22"/>
              </w:rPr>
              <w:t>–</w:t>
            </w:r>
            <w:r w:rsidR="000B26D6" w:rsidRPr="00B424D4">
              <w:rPr>
                <w:rFonts w:ascii="Calibri" w:hAnsi="Calibri"/>
                <w:sz w:val="22"/>
                <w:szCs w:val="22"/>
              </w:rPr>
              <w:t xml:space="preserve"> </w:t>
            </w:r>
            <w:r>
              <w:rPr>
                <w:rFonts w:ascii="Calibri" w:hAnsi="Calibri"/>
                <w:sz w:val="22"/>
                <w:szCs w:val="22"/>
              </w:rPr>
              <w:t xml:space="preserve">31 mars </w:t>
            </w:r>
            <w:r w:rsidR="001D7A2B">
              <w:rPr>
                <w:rFonts w:ascii="Calibri" w:hAnsi="Calibri"/>
                <w:sz w:val="22"/>
                <w:szCs w:val="22"/>
              </w:rPr>
              <w:t>2029</w:t>
            </w:r>
          </w:p>
        </w:tc>
      </w:tr>
      <w:tr w:rsidR="006D6F53" w14:paraId="03ADA890" w14:textId="77777777" w:rsidTr="0051542F">
        <w:tc>
          <w:tcPr>
            <w:tcW w:w="2864" w:type="dxa"/>
          </w:tcPr>
          <w:p w14:paraId="4B04DF0D" w14:textId="77777777" w:rsidR="0013411F" w:rsidRPr="00B424D4" w:rsidRDefault="001D7A2B" w:rsidP="0013411F">
            <w:pPr>
              <w:jc w:val="left"/>
              <w:rPr>
                <w:rFonts w:ascii="Calibri" w:hAnsi="Calibri"/>
                <w:b/>
                <w:sz w:val="22"/>
                <w:szCs w:val="22"/>
              </w:rPr>
            </w:pPr>
            <w:r w:rsidRPr="00B424D4">
              <w:rPr>
                <w:rFonts w:ascii="Calibri" w:hAnsi="Calibri"/>
                <w:b/>
                <w:sz w:val="22"/>
                <w:szCs w:val="22"/>
              </w:rPr>
              <w:t>Svensk projektägare</w:t>
            </w:r>
          </w:p>
        </w:tc>
        <w:tc>
          <w:tcPr>
            <w:tcW w:w="6348" w:type="dxa"/>
            <w:gridSpan w:val="2"/>
          </w:tcPr>
          <w:p w14:paraId="14EDD915" w14:textId="62D22B2D" w:rsidR="0013411F" w:rsidRPr="00B424D4" w:rsidRDefault="001D7A2B" w:rsidP="00CA5DDC">
            <w:pPr>
              <w:jc w:val="left"/>
              <w:rPr>
                <w:rFonts w:ascii="Calibri" w:hAnsi="Calibri"/>
                <w:sz w:val="22"/>
                <w:szCs w:val="22"/>
              </w:rPr>
            </w:pPr>
            <w:r>
              <w:rPr>
                <w:rFonts w:ascii="Calibri" w:hAnsi="Calibri"/>
                <w:sz w:val="22"/>
                <w:szCs w:val="22"/>
              </w:rPr>
              <w:t>MITTUNIVERSITETET</w:t>
            </w:r>
          </w:p>
        </w:tc>
      </w:tr>
      <w:tr w:rsidR="006D6F53" w14:paraId="68C88B1F" w14:textId="77777777" w:rsidTr="0051542F">
        <w:tc>
          <w:tcPr>
            <w:tcW w:w="2864" w:type="dxa"/>
          </w:tcPr>
          <w:p w14:paraId="38285D0D" w14:textId="77777777" w:rsidR="0013411F" w:rsidRPr="00B424D4" w:rsidRDefault="001D7A2B" w:rsidP="0013411F">
            <w:pPr>
              <w:jc w:val="left"/>
              <w:rPr>
                <w:rFonts w:ascii="Calibri" w:hAnsi="Calibri"/>
                <w:b/>
                <w:sz w:val="22"/>
                <w:szCs w:val="22"/>
              </w:rPr>
            </w:pPr>
            <w:r w:rsidRPr="00B424D4">
              <w:rPr>
                <w:rFonts w:ascii="Calibri" w:hAnsi="Calibri"/>
                <w:b/>
                <w:sz w:val="22"/>
                <w:szCs w:val="22"/>
              </w:rPr>
              <w:t>Norsk projektägare</w:t>
            </w:r>
          </w:p>
        </w:tc>
        <w:tc>
          <w:tcPr>
            <w:tcW w:w="6348" w:type="dxa"/>
            <w:gridSpan w:val="2"/>
          </w:tcPr>
          <w:p w14:paraId="7F869329" w14:textId="1ECA3068" w:rsidR="0013411F" w:rsidRPr="00B424D4" w:rsidRDefault="001D7A2B" w:rsidP="00B82215">
            <w:pPr>
              <w:jc w:val="left"/>
              <w:rPr>
                <w:rFonts w:ascii="Calibri" w:hAnsi="Calibri"/>
                <w:sz w:val="22"/>
                <w:szCs w:val="22"/>
              </w:rPr>
            </w:pPr>
            <w:r>
              <w:rPr>
                <w:rFonts w:ascii="Calibri" w:hAnsi="Calibri"/>
                <w:sz w:val="22"/>
                <w:szCs w:val="22"/>
              </w:rPr>
              <w:t>NORGES TEKNISK-NATURVITENSKAPELIGE UNIVERSITET NTNU</w:t>
            </w:r>
          </w:p>
        </w:tc>
      </w:tr>
      <w:tr w:rsidR="006D6F53" w14:paraId="74802E74" w14:textId="77777777" w:rsidTr="0051542F">
        <w:tc>
          <w:tcPr>
            <w:tcW w:w="2864" w:type="dxa"/>
          </w:tcPr>
          <w:p w14:paraId="708E0E95" w14:textId="77777777" w:rsidR="00211762" w:rsidRPr="00B424D4" w:rsidRDefault="001D7A2B" w:rsidP="0013411F">
            <w:pPr>
              <w:jc w:val="left"/>
              <w:rPr>
                <w:rFonts w:ascii="Calibri" w:hAnsi="Calibri"/>
                <w:b/>
                <w:sz w:val="22"/>
                <w:szCs w:val="22"/>
              </w:rPr>
            </w:pPr>
            <w:r w:rsidRPr="00B424D4">
              <w:rPr>
                <w:rFonts w:ascii="Calibri" w:hAnsi="Calibri"/>
                <w:b/>
                <w:sz w:val="22"/>
                <w:szCs w:val="22"/>
              </w:rPr>
              <w:t>Total budget</w:t>
            </w:r>
          </w:p>
        </w:tc>
        <w:tc>
          <w:tcPr>
            <w:tcW w:w="4507" w:type="dxa"/>
          </w:tcPr>
          <w:p w14:paraId="14D260AB" w14:textId="0376AB7C" w:rsidR="00211762" w:rsidRPr="00B424D4" w:rsidRDefault="00935E73" w:rsidP="000D1617">
            <w:pPr>
              <w:rPr>
                <w:rFonts w:ascii="Calibri" w:hAnsi="Calibri"/>
                <w:sz w:val="22"/>
                <w:szCs w:val="22"/>
              </w:rPr>
            </w:pPr>
            <w:r>
              <w:rPr>
                <w:rFonts w:ascii="Calibri" w:hAnsi="Calibri"/>
                <w:sz w:val="22"/>
                <w:szCs w:val="22"/>
              </w:rPr>
              <w:t>1 034 523</w:t>
            </w:r>
            <w:r w:rsidR="001D7A2B">
              <w:rPr>
                <w:rFonts w:ascii="Calibri" w:hAnsi="Calibri"/>
                <w:sz w:val="22"/>
                <w:szCs w:val="22"/>
              </w:rPr>
              <w:t xml:space="preserve"> </w:t>
            </w:r>
            <w:r w:rsidR="001D7A2B" w:rsidRPr="00B424D4">
              <w:rPr>
                <w:rFonts w:ascii="Calibri" w:hAnsi="Calibri"/>
                <w:sz w:val="22"/>
                <w:szCs w:val="22"/>
              </w:rPr>
              <w:t>EUR</w:t>
            </w:r>
          </w:p>
        </w:tc>
        <w:tc>
          <w:tcPr>
            <w:tcW w:w="1841" w:type="dxa"/>
          </w:tcPr>
          <w:p w14:paraId="65D34162" w14:textId="41AEEF05" w:rsidR="00211762" w:rsidRPr="00B424D4" w:rsidRDefault="001D7A2B" w:rsidP="000D1617">
            <w:pPr>
              <w:jc w:val="left"/>
              <w:rPr>
                <w:rFonts w:ascii="Calibri" w:hAnsi="Calibri"/>
                <w:sz w:val="22"/>
                <w:szCs w:val="22"/>
              </w:rPr>
            </w:pPr>
            <w:r>
              <w:rPr>
                <w:rFonts w:ascii="Calibri" w:hAnsi="Calibri"/>
                <w:sz w:val="22"/>
                <w:szCs w:val="22"/>
              </w:rPr>
              <w:t xml:space="preserve"> </w:t>
            </w:r>
            <w:r w:rsidR="00935E73">
              <w:rPr>
                <w:rFonts w:ascii="Calibri" w:hAnsi="Calibri"/>
                <w:sz w:val="22"/>
                <w:szCs w:val="22"/>
              </w:rPr>
              <w:t>10 345 230</w:t>
            </w:r>
            <w:r w:rsidR="00175667">
              <w:rPr>
                <w:rFonts w:ascii="Calibri" w:hAnsi="Calibri"/>
                <w:sz w:val="22"/>
                <w:szCs w:val="22"/>
              </w:rPr>
              <w:t xml:space="preserve"> </w:t>
            </w:r>
            <w:r>
              <w:rPr>
                <w:rFonts w:ascii="Calibri" w:hAnsi="Calibri"/>
                <w:sz w:val="22"/>
                <w:szCs w:val="22"/>
              </w:rPr>
              <w:t>NOK</w:t>
            </w:r>
          </w:p>
        </w:tc>
      </w:tr>
      <w:tr w:rsidR="006D6F53" w14:paraId="1E8E7633" w14:textId="77777777" w:rsidTr="0051542F">
        <w:tc>
          <w:tcPr>
            <w:tcW w:w="2864" w:type="dxa"/>
          </w:tcPr>
          <w:p w14:paraId="748320E2" w14:textId="77777777" w:rsidR="008C187F" w:rsidRPr="00B424D4" w:rsidRDefault="001D7A2B" w:rsidP="0013411F">
            <w:pPr>
              <w:jc w:val="left"/>
              <w:rPr>
                <w:rFonts w:ascii="Calibri" w:hAnsi="Calibri"/>
                <w:b/>
                <w:sz w:val="22"/>
                <w:szCs w:val="22"/>
              </w:rPr>
            </w:pPr>
            <w:r w:rsidRPr="00B424D4">
              <w:rPr>
                <w:rFonts w:ascii="Calibri" w:hAnsi="Calibri"/>
                <w:b/>
                <w:sz w:val="22"/>
                <w:szCs w:val="22"/>
              </w:rPr>
              <w:t>Sökt belopp EU-medel</w:t>
            </w:r>
          </w:p>
        </w:tc>
        <w:tc>
          <w:tcPr>
            <w:tcW w:w="4507" w:type="dxa"/>
          </w:tcPr>
          <w:p w14:paraId="65916AF8" w14:textId="77777777" w:rsidR="008C187F" w:rsidRPr="00B424D4" w:rsidRDefault="001D7A2B" w:rsidP="000D1617">
            <w:pPr>
              <w:rPr>
                <w:rFonts w:ascii="Calibri" w:hAnsi="Calibri"/>
                <w:sz w:val="22"/>
                <w:szCs w:val="22"/>
              </w:rPr>
            </w:pPr>
            <w:r>
              <w:rPr>
                <w:rFonts w:ascii="Calibri" w:hAnsi="Calibri"/>
                <w:sz w:val="22"/>
                <w:szCs w:val="22"/>
              </w:rPr>
              <w:t xml:space="preserve">438 440 </w:t>
            </w:r>
            <w:r w:rsidRPr="00B424D4">
              <w:rPr>
                <w:rFonts w:ascii="Calibri" w:hAnsi="Calibri"/>
                <w:sz w:val="22"/>
                <w:szCs w:val="22"/>
              </w:rPr>
              <w:t>EUR</w:t>
            </w:r>
          </w:p>
        </w:tc>
        <w:tc>
          <w:tcPr>
            <w:tcW w:w="1841" w:type="dxa"/>
          </w:tcPr>
          <w:p w14:paraId="16C1A974" w14:textId="77777777" w:rsidR="008C187F" w:rsidRPr="00B424D4" w:rsidRDefault="008C187F" w:rsidP="000D1617">
            <w:pPr>
              <w:jc w:val="left"/>
              <w:rPr>
                <w:rFonts w:ascii="Calibri" w:hAnsi="Calibri"/>
                <w:sz w:val="22"/>
                <w:szCs w:val="22"/>
              </w:rPr>
            </w:pPr>
          </w:p>
        </w:tc>
      </w:tr>
      <w:tr w:rsidR="006D6F53" w14:paraId="51AA58EB" w14:textId="77777777" w:rsidTr="0051542F">
        <w:tc>
          <w:tcPr>
            <w:tcW w:w="2864" w:type="dxa"/>
          </w:tcPr>
          <w:p w14:paraId="5A5938B3" w14:textId="77777777" w:rsidR="0013411F" w:rsidRPr="00B424D4" w:rsidRDefault="001D7A2B" w:rsidP="0013411F">
            <w:pPr>
              <w:jc w:val="left"/>
              <w:rPr>
                <w:rFonts w:ascii="Calibri" w:hAnsi="Calibri"/>
                <w:b/>
                <w:sz w:val="22"/>
                <w:szCs w:val="22"/>
              </w:rPr>
            </w:pPr>
            <w:r w:rsidRPr="00B424D4">
              <w:rPr>
                <w:rFonts w:ascii="Calibri" w:hAnsi="Calibri"/>
                <w:b/>
                <w:sz w:val="22"/>
                <w:szCs w:val="22"/>
              </w:rPr>
              <w:t>Sökt belopp IR-midler</w:t>
            </w:r>
          </w:p>
        </w:tc>
        <w:tc>
          <w:tcPr>
            <w:tcW w:w="4507" w:type="dxa"/>
          </w:tcPr>
          <w:p w14:paraId="2BE11162" w14:textId="77777777" w:rsidR="0013411F" w:rsidRPr="00B424D4" w:rsidRDefault="001D7A2B" w:rsidP="000D1617">
            <w:pPr>
              <w:jc w:val="left"/>
              <w:rPr>
                <w:rFonts w:ascii="Calibri" w:hAnsi="Calibri"/>
                <w:sz w:val="22"/>
                <w:szCs w:val="22"/>
              </w:rPr>
            </w:pPr>
            <w:r>
              <w:rPr>
                <w:rFonts w:ascii="Calibri" w:hAnsi="Calibri"/>
                <w:sz w:val="22"/>
                <w:szCs w:val="22"/>
              </w:rPr>
              <w:t>180 000</w:t>
            </w:r>
            <w:r w:rsidRPr="00B424D4">
              <w:rPr>
                <w:rFonts w:ascii="Calibri" w:hAnsi="Calibri"/>
                <w:sz w:val="22"/>
                <w:szCs w:val="22"/>
              </w:rPr>
              <w:t xml:space="preserve"> EUR</w:t>
            </w:r>
          </w:p>
        </w:tc>
        <w:tc>
          <w:tcPr>
            <w:tcW w:w="1841" w:type="dxa"/>
          </w:tcPr>
          <w:p w14:paraId="746494B8" w14:textId="41DB9327" w:rsidR="0013411F" w:rsidRPr="00B424D4" w:rsidRDefault="00935E73" w:rsidP="0013411F">
            <w:pPr>
              <w:jc w:val="left"/>
              <w:rPr>
                <w:rFonts w:ascii="Calibri" w:hAnsi="Calibri"/>
                <w:sz w:val="22"/>
                <w:szCs w:val="22"/>
              </w:rPr>
            </w:pPr>
            <w:r>
              <w:rPr>
                <w:rFonts w:ascii="Calibri" w:hAnsi="Calibri"/>
                <w:sz w:val="22"/>
                <w:szCs w:val="22"/>
              </w:rPr>
              <w:t>1 800 000</w:t>
            </w:r>
            <w:r w:rsidR="001D7A2B" w:rsidRPr="00B424D4">
              <w:rPr>
                <w:rFonts w:ascii="Calibri" w:hAnsi="Calibri"/>
                <w:sz w:val="22"/>
                <w:szCs w:val="22"/>
              </w:rPr>
              <w:t xml:space="preserve"> NOK</w:t>
            </w:r>
          </w:p>
        </w:tc>
      </w:tr>
      <w:tr w:rsidR="006D6F53" w14:paraId="02A03BB9" w14:textId="77777777" w:rsidTr="0051542F">
        <w:tc>
          <w:tcPr>
            <w:tcW w:w="2864" w:type="dxa"/>
          </w:tcPr>
          <w:p w14:paraId="0F2215CD" w14:textId="77777777" w:rsidR="00781F13" w:rsidRPr="00935E73" w:rsidRDefault="001D7A2B" w:rsidP="0013411F">
            <w:pPr>
              <w:jc w:val="left"/>
              <w:rPr>
                <w:rFonts w:ascii="Calibri" w:hAnsi="Calibri"/>
                <w:b/>
                <w:sz w:val="22"/>
                <w:szCs w:val="22"/>
              </w:rPr>
            </w:pPr>
            <w:r w:rsidRPr="00935E73">
              <w:rPr>
                <w:rFonts w:ascii="Calibri" w:hAnsi="Calibri"/>
                <w:b/>
                <w:sz w:val="22"/>
                <w:szCs w:val="22"/>
              </w:rPr>
              <w:t>Saksbehandlare/handläggare</w:t>
            </w:r>
          </w:p>
        </w:tc>
        <w:tc>
          <w:tcPr>
            <w:tcW w:w="4507" w:type="dxa"/>
          </w:tcPr>
          <w:p w14:paraId="29AB1890" w14:textId="6FFD8697" w:rsidR="00781F13" w:rsidRPr="00935E73" w:rsidRDefault="001D7A2B" w:rsidP="00D55009">
            <w:pPr>
              <w:rPr>
                <w:rFonts w:ascii="Calibri" w:hAnsi="Calibri"/>
                <w:sz w:val="22"/>
                <w:szCs w:val="22"/>
              </w:rPr>
            </w:pPr>
            <w:r w:rsidRPr="00935E73">
              <w:rPr>
                <w:rFonts w:ascii="Calibri" w:hAnsi="Calibri"/>
                <w:sz w:val="22"/>
                <w:szCs w:val="22"/>
              </w:rPr>
              <w:t>Ivona Begic</w:t>
            </w:r>
            <w:r w:rsidR="00935E73" w:rsidRPr="00935E73">
              <w:rPr>
                <w:rFonts w:ascii="Calibri" w:hAnsi="Calibri"/>
                <w:sz w:val="22"/>
                <w:szCs w:val="22"/>
              </w:rPr>
              <w:t>/Gaute Rosten</w:t>
            </w:r>
          </w:p>
        </w:tc>
        <w:tc>
          <w:tcPr>
            <w:tcW w:w="1841" w:type="dxa"/>
          </w:tcPr>
          <w:p w14:paraId="23DA23E8" w14:textId="0DF70BCC" w:rsidR="00781F13" w:rsidRPr="00B424D4" w:rsidRDefault="001D7A2B" w:rsidP="00D55009">
            <w:pPr>
              <w:jc w:val="left"/>
              <w:rPr>
                <w:rFonts w:ascii="Calibri" w:hAnsi="Calibri"/>
                <w:sz w:val="22"/>
                <w:szCs w:val="22"/>
              </w:rPr>
            </w:pPr>
            <w:r>
              <w:rPr>
                <w:rFonts w:ascii="Calibri" w:hAnsi="Calibri"/>
                <w:sz w:val="22"/>
                <w:szCs w:val="22"/>
              </w:rPr>
              <w:t>EU/IR</w:t>
            </w:r>
            <w:r w:rsidR="008F3D1D">
              <w:rPr>
                <w:rFonts w:ascii="Calibri" w:hAnsi="Calibri"/>
                <w:sz w:val="22"/>
                <w:szCs w:val="22"/>
              </w:rPr>
              <w:t>:</w:t>
            </w:r>
            <w:r w:rsidR="009657F7">
              <w:rPr>
                <w:rFonts w:ascii="Calibri" w:hAnsi="Calibri"/>
                <w:sz w:val="22"/>
                <w:szCs w:val="22"/>
              </w:rPr>
              <w:t xml:space="preserve"> 71/29</w:t>
            </w:r>
          </w:p>
        </w:tc>
      </w:tr>
    </w:tbl>
    <w:p w14:paraId="581FE3C6" w14:textId="77777777" w:rsidR="0013411F" w:rsidRPr="00B424D4" w:rsidRDefault="0013411F" w:rsidP="00EE4D0F">
      <w:pPr>
        <w:rPr>
          <w:rFonts w:ascii="Calibri" w:hAnsi="Calibri"/>
          <w:sz w:val="22"/>
          <w:szCs w:val="22"/>
        </w:rPr>
      </w:pPr>
    </w:p>
    <w:p w14:paraId="5A720C48" w14:textId="77777777" w:rsidR="00293BB9" w:rsidRPr="00C14338" w:rsidRDefault="001D7A2B" w:rsidP="00293BB9">
      <w:pPr>
        <w:pStyle w:val="Brdtekst"/>
        <w:rPr>
          <w:rFonts w:asciiTheme="minorHAnsi" w:hAnsiTheme="minorHAnsi"/>
          <w:b/>
          <w:sz w:val="28"/>
          <w:szCs w:val="28"/>
        </w:rPr>
      </w:pPr>
      <w:r w:rsidRPr="00C14338">
        <w:rPr>
          <w:rFonts w:asciiTheme="minorHAnsi" w:hAnsiTheme="minorHAnsi"/>
          <w:b/>
          <w:sz w:val="28"/>
          <w:szCs w:val="28"/>
        </w:rPr>
        <w:t>Sekretariatets forslag til vedtak</w:t>
      </w:r>
    </w:p>
    <w:p w14:paraId="644DFF78" w14:textId="77777777" w:rsidR="002C14F6" w:rsidRPr="005F201A" w:rsidRDefault="001D7A2B" w:rsidP="0051542F">
      <w:pPr>
        <w:widowControl w:val="0"/>
        <w:tabs>
          <w:tab w:val="left" w:pos="822"/>
        </w:tabs>
        <w:autoSpaceDE w:val="0"/>
        <w:autoSpaceDN w:val="0"/>
        <w:spacing w:before="11"/>
        <w:rPr>
          <w:rFonts w:asciiTheme="minorHAnsi" w:hAnsiTheme="minorHAnsi" w:cstheme="minorHAnsi"/>
          <w:sz w:val="22"/>
          <w:szCs w:val="22"/>
        </w:rPr>
      </w:pPr>
      <w:r w:rsidRPr="005F201A">
        <w:rPr>
          <w:rFonts w:asciiTheme="minorHAnsi" w:hAnsiTheme="minorHAnsi" w:cstheme="minorHAnsi"/>
          <w:sz w:val="22"/>
          <w:szCs w:val="22"/>
        </w:rPr>
        <w:t xml:space="preserve">Att styrkommittén för Interreg Sverige-Norge, delområde </w:t>
      </w:r>
      <w:r>
        <w:rPr>
          <w:rFonts w:asciiTheme="minorHAnsi" w:hAnsiTheme="minorHAnsi" w:cstheme="minorHAnsi"/>
          <w:sz w:val="22"/>
          <w:szCs w:val="22"/>
        </w:rPr>
        <w:t>Nordens Gröna Bälte</w:t>
      </w:r>
      <w:r w:rsidR="00D65D92">
        <w:rPr>
          <w:rFonts w:asciiTheme="minorHAnsi" w:hAnsiTheme="minorHAnsi" w:cstheme="minorHAnsi"/>
          <w:sz w:val="22"/>
          <w:szCs w:val="22"/>
        </w:rPr>
        <w:t xml:space="preserve"> </w:t>
      </w:r>
      <w:r w:rsidRPr="005F201A">
        <w:rPr>
          <w:rFonts w:asciiTheme="minorHAnsi" w:hAnsiTheme="minorHAnsi" w:cstheme="minorHAnsi"/>
          <w:sz w:val="22"/>
          <w:szCs w:val="22"/>
        </w:rPr>
        <w:t>bifaller projektet och överlämnar till förvaltande myndighet att besluta om ett bidrag på max</w:t>
      </w:r>
      <w:r w:rsidR="003C1D18">
        <w:rPr>
          <w:rFonts w:asciiTheme="minorHAnsi" w:hAnsiTheme="minorHAnsi" w:cstheme="minorHAnsi"/>
          <w:sz w:val="22"/>
          <w:szCs w:val="22"/>
        </w:rPr>
        <w:t>imalt</w:t>
      </w:r>
      <w:r w:rsidRPr="005F201A">
        <w:rPr>
          <w:rFonts w:asciiTheme="minorHAnsi" w:hAnsiTheme="minorHAnsi" w:cstheme="minorHAnsi"/>
          <w:sz w:val="22"/>
          <w:szCs w:val="22"/>
        </w:rPr>
        <w:t xml:space="preserve"> </w:t>
      </w:r>
      <w:r>
        <w:rPr>
          <w:rFonts w:ascii="Calibri" w:hAnsi="Calibri"/>
          <w:sz w:val="22"/>
          <w:szCs w:val="22"/>
        </w:rPr>
        <w:t>438 440</w:t>
      </w:r>
      <w:r w:rsidRPr="005F201A">
        <w:rPr>
          <w:rFonts w:asciiTheme="minorHAnsi" w:hAnsiTheme="minorHAnsi" w:cstheme="minorHAnsi"/>
          <w:sz w:val="22"/>
          <w:szCs w:val="22"/>
        </w:rPr>
        <w:t xml:space="preserve"> EUR från Europeiska regionala</w:t>
      </w:r>
      <w:r w:rsidRPr="005F201A">
        <w:rPr>
          <w:rFonts w:asciiTheme="minorHAnsi" w:hAnsiTheme="minorHAnsi" w:cstheme="minorHAnsi"/>
          <w:spacing w:val="-6"/>
          <w:sz w:val="22"/>
          <w:szCs w:val="22"/>
        </w:rPr>
        <w:t xml:space="preserve"> </w:t>
      </w:r>
      <w:r w:rsidRPr="005F201A">
        <w:rPr>
          <w:rFonts w:asciiTheme="minorHAnsi" w:hAnsiTheme="minorHAnsi" w:cstheme="minorHAnsi"/>
          <w:sz w:val="22"/>
          <w:szCs w:val="22"/>
        </w:rPr>
        <w:t>utvecklingsfonden</w:t>
      </w:r>
      <w:r w:rsidR="000A0173" w:rsidRPr="005F201A">
        <w:rPr>
          <w:rFonts w:asciiTheme="minorHAnsi" w:hAnsiTheme="minorHAnsi" w:cstheme="minorHAnsi"/>
          <w:sz w:val="22"/>
          <w:szCs w:val="22"/>
        </w:rPr>
        <w:t>.</w:t>
      </w:r>
    </w:p>
    <w:p w14:paraId="1F4E8C37" w14:textId="77777777" w:rsidR="000A0173" w:rsidRPr="000A0173" w:rsidRDefault="000A0173" w:rsidP="0051542F">
      <w:pPr>
        <w:pStyle w:val="Listeavsnitt"/>
        <w:widowControl w:val="0"/>
        <w:tabs>
          <w:tab w:val="left" w:pos="822"/>
        </w:tabs>
        <w:autoSpaceDE w:val="0"/>
        <w:autoSpaceDN w:val="0"/>
        <w:spacing w:before="11"/>
        <w:ind w:left="821"/>
        <w:contextualSpacing w:val="0"/>
        <w:rPr>
          <w:rFonts w:asciiTheme="minorHAnsi" w:hAnsiTheme="minorHAnsi" w:cstheme="minorHAnsi"/>
          <w:sz w:val="22"/>
          <w:szCs w:val="22"/>
        </w:rPr>
      </w:pPr>
    </w:p>
    <w:p w14:paraId="2365E9DB" w14:textId="682DE69F" w:rsidR="005F201A" w:rsidRPr="00796EDF" w:rsidRDefault="001D7A2B" w:rsidP="0051542F">
      <w:r w:rsidRPr="00796EDF">
        <w:rPr>
          <w:rFonts w:asciiTheme="minorHAnsi" w:hAnsiTheme="minorHAnsi" w:cstheme="minorHAnsi"/>
          <w:sz w:val="22"/>
          <w:szCs w:val="22"/>
        </w:rPr>
        <w:t xml:space="preserve">Styringskomitéen for Interreg Sverige-Norge, delområde </w:t>
      </w:r>
      <w:r w:rsidR="00935E73" w:rsidRPr="00796EDF">
        <w:rPr>
          <w:rFonts w:asciiTheme="minorHAnsi" w:hAnsiTheme="minorHAnsi" w:cstheme="minorHAnsi"/>
          <w:sz w:val="22"/>
          <w:szCs w:val="22"/>
        </w:rPr>
        <w:t>Nordens grønne belte</w:t>
      </w:r>
      <w:r w:rsidR="00A4119A" w:rsidRPr="00796EDF">
        <w:rPr>
          <w:rFonts w:asciiTheme="minorHAnsi" w:hAnsiTheme="minorHAnsi" w:cstheme="minorHAnsi"/>
          <w:sz w:val="22"/>
          <w:szCs w:val="22"/>
        </w:rPr>
        <w:t xml:space="preserve"> </w:t>
      </w:r>
      <w:r w:rsidRPr="00796EDF">
        <w:rPr>
          <w:rFonts w:asciiTheme="minorHAnsi" w:hAnsiTheme="minorHAnsi" w:cstheme="minorHAnsi"/>
          <w:sz w:val="22"/>
          <w:szCs w:val="22"/>
        </w:rPr>
        <w:t>godkjenner prosjektet og overlater til norsk forvaltende organisasjon å vedta en finansiering inntil kr</w:t>
      </w:r>
      <w:r w:rsidR="002757F8" w:rsidRPr="00796EDF">
        <w:rPr>
          <w:rFonts w:asciiTheme="minorHAnsi" w:hAnsiTheme="minorHAnsi" w:cstheme="minorHAnsi"/>
          <w:sz w:val="22"/>
          <w:szCs w:val="22"/>
        </w:rPr>
        <w:t xml:space="preserve"> </w:t>
      </w:r>
      <w:r>
        <w:rPr>
          <w:rFonts w:ascii="Calibri" w:hAnsi="Calibri"/>
          <w:sz w:val="22"/>
          <w:szCs w:val="22"/>
        </w:rPr>
        <w:t>1</w:t>
      </w:r>
      <w:r w:rsidR="009657F7">
        <w:rPr>
          <w:rFonts w:ascii="Calibri" w:hAnsi="Calibri"/>
          <w:sz w:val="22"/>
          <w:szCs w:val="22"/>
        </w:rPr>
        <w:t>.</w:t>
      </w:r>
      <w:r>
        <w:rPr>
          <w:rFonts w:ascii="Calibri" w:hAnsi="Calibri"/>
          <w:sz w:val="22"/>
          <w:szCs w:val="22"/>
        </w:rPr>
        <w:t>80</w:t>
      </w:r>
      <w:r w:rsidR="009657F7">
        <w:rPr>
          <w:rFonts w:ascii="Calibri" w:hAnsi="Calibri"/>
          <w:sz w:val="22"/>
          <w:szCs w:val="22"/>
        </w:rPr>
        <w:t>0.</w:t>
      </w:r>
      <w:r>
        <w:rPr>
          <w:rFonts w:ascii="Calibri" w:hAnsi="Calibri"/>
          <w:sz w:val="22"/>
          <w:szCs w:val="22"/>
        </w:rPr>
        <w:t xml:space="preserve">000 </w:t>
      </w:r>
      <w:r w:rsidRPr="00796EDF">
        <w:rPr>
          <w:rFonts w:asciiTheme="minorHAnsi" w:hAnsiTheme="minorHAnsi" w:cstheme="minorHAnsi"/>
          <w:sz w:val="22"/>
          <w:szCs w:val="22"/>
        </w:rPr>
        <w:t>i norske IR-midler fra Statsbudsjettet kapittel 553, post</w:t>
      </w:r>
      <w:r w:rsidRPr="00796EDF">
        <w:rPr>
          <w:rFonts w:asciiTheme="minorHAnsi" w:hAnsiTheme="minorHAnsi" w:cstheme="minorHAnsi"/>
          <w:spacing w:val="-15"/>
          <w:sz w:val="22"/>
          <w:szCs w:val="22"/>
        </w:rPr>
        <w:t xml:space="preserve"> </w:t>
      </w:r>
      <w:r w:rsidRPr="00796EDF">
        <w:rPr>
          <w:rFonts w:asciiTheme="minorHAnsi" w:hAnsiTheme="minorHAnsi" w:cstheme="minorHAnsi"/>
          <w:sz w:val="22"/>
          <w:szCs w:val="22"/>
        </w:rPr>
        <w:t>63</w:t>
      </w:r>
      <w:r w:rsidRPr="00796EDF">
        <w:rPr>
          <w:rFonts w:asciiTheme="minorHAnsi" w:hAnsiTheme="minorHAnsi" w:cstheme="minorHAnsi"/>
          <w:i/>
          <w:iCs/>
          <w:sz w:val="22"/>
          <w:szCs w:val="22"/>
        </w:rPr>
        <w:t xml:space="preserve">. </w:t>
      </w:r>
    </w:p>
    <w:p w14:paraId="1EFC034D" w14:textId="77777777" w:rsidR="00C32E5B" w:rsidRPr="00796EDF" w:rsidRDefault="001D7A2B" w:rsidP="00950656">
      <w:pPr>
        <w:pStyle w:val="Overskrift3"/>
        <w:rPr>
          <w:rFonts w:asciiTheme="minorHAnsi" w:hAnsiTheme="minorHAnsi" w:cstheme="minorHAnsi"/>
          <w:sz w:val="22"/>
          <w:szCs w:val="22"/>
        </w:rPr>
      </w:pPr>
      <w:r w:rsidRPr="00796EDF">
        <w:rPr>
          <w:rFonts w:asciiTheme="minorHAnsi" w:hAnsiTheme="minorHAnsi" w:cstheme="minorHAnsi"/>
          <w:sz w:val="22"/>
          <w:szCs w:val="22"/>
        </w:rPr>
        <w:t xml:space="preserve">Motivering- sekretariatets förslag till beslut </w:t>
      </w:r>
    </w:p>
    <w:p w14:paraId="011DFEDF" w14:textId="2F665A0E" w:rsidR="00041260" w:rsidRPr="00796EDF" w:rsidRDefault="00041260" w:rsidP="00041260">
      <w:pPr>
        <w:pStyle w:val="Brdtekst"/>
        <w:rPr>
          <w:rFonts w:asciiTheme="minorHAnsi" w:hAnsiTheme="minorHAnsi" w:cstheme="minorHAnsi"/>
          <w:sz w:val="22"/>
          <w:szCs w:val="22"/>
        </w:rPr>
      </w:pPr>
      <w:r w:rsidRPr="00796EDF">
        <w:rPr>
          <w:rFonts w:asciiTheme="minorHAnsi" w:hAnsiTheme="minorHAnsi" w:cstheme="minorHAnsi"/>
          <w:sz w:val="22"/>
          <w:szCs w:val="22"/>
        </w:rPr>
        <w:t>Projektägarna och samverkande parter har kompletterande kompetenser som förväntas gynna projektet gällande samhällsproblemet kring hjärt- och hjärnsjukdomar, men det är oklart om lösningen blir gemensam eller separata produkter. Hur projektet ska organisera arbetet är väl beskrivet, men majoriteten av aktiviteterna sker utan direkt samverkan</w:t>
      </w:r>
      <w:r w:rsidR="0051542F" w:rsidRPr="00796EDF">
        <w:rPr>
          <w:rFonts w:asciiTheme="minorHAnsi" w:hAnsiTheme="minorHAnsi" w:cstheme="minorHAnsi"/>
          <w:sz w:val="22"/>
          <w:szCs w:val="22"/>
        </w:rPr>
        <w:t xml:space="preserve"> över gränserna</w:t>
      </w:r>
      <w:r w:rsidRPr="00796EDF">
        <w:rPr>
          <w:rFonts w:asciiTheme="minorHAnsi" w:hAnsiTheme="minorHAnsi" w:cstheme="minorHAnsi"/>
          <w:sz w:val="22"/>
          <w:szCs w:val="22"/>
        </w:rPr>
        <w:t>.</w:t>
      </w:r>
    </w:p>
    <w:p w14:paraId="76C7526D" w14:textId="77777777" w:rsidR="00041260" w:rsidRPr="00796EDF" w:rsidRDefault="00041260" w:rsidP="00041260">
      <w:pPr>
        <w:pStyle w:val="Brdtekst"/>
        <w:rPr>
          <w:rFonts w:asciiTheme="minorHAnsi" w:hAnsiTheme="minorHAnsi" w:cstheme="minorHAnsi"/>
          <w:sz w:val="22"/>
          <w:szCs w:val="22"/>
        </w:rPr>
      </w:pPr>
    </w:p>
    <w:p w14:paraId="0480E522" w14:textId="1A3E4E51" w:rsidR="00041260" w:rsidRPr="00796EDF" w:rsidRDefault="00041260" w:rsidP="00041260">
      <w:pPr>
        <w:pStyle w:val="Brdtekst"/>
        <w:rPr>
          <w:rFonts w:asciiTheme="minorHAnsi" w:hAnsiTheme="minorHAnsi" w:cstheme="minorHAnsi"/>
          <w:sz w:val="22"/>
          <w:szCs w:val="22"/>
          <w:lang w:val="nn-NO"/>
        </w:rPr>
      </w:pPr>
      <w:r w:rsidRPr="00796EDF">
        <w:rPr>
          <w:rFonts w:asciiTheme="minorHAnsi" w:hAnsiTheme="minorHAnsi" w:cstheme="minorHAnsi"/>
          <w:sz w:val="22"/>
          <w:szCs w:val="22"/>
        </w:rPr>
        <w:t>Målsättningen är kopplad till det specifika mål</w:t>
      </w:r>
      <w:r w:rsidR="00840D10" w:rsidRPr="00796EDF">
        <w:rPr>
          <w:rFonts w:asciiTheme="minorHAnsi" w:hAnsiTheme="minorHAnsi" w:cstheme="minorHAnsi"/>
          <w:sz w:val="22"/>
          <w:szCs w:val="22"/>
        </w:rPr>
        <w:t>et</w:t>
      </w:r>
      <w:r w:rsidRPr="00796EDF">
        <w:rPr>
          <w:rFonts w:asciiTheme="minorHAnsi" w:hAnsiTheme="minorHAnsi" w:cstheme="minorHAnsi"/>
          <w:sz w:val="22"/>
          <w:szCs w:val="22"/>
        </w:rPr>
        <w:t xml:space="preserve"> där samarbete mellan forskare och privat sektor ska leda till en innovativ teknisk lösning för en samhällsutmaning. Projektlogiken är tydlig och aktiviteterna stödjer målsättningen.Målgrupperna är relevanta men differentierade i de olika länderna och det framgår inte </w:t>
      </w:r>
      <w:r w:rsidR="00840D10" w:rsidRPr="00796EDF">
        <w:rPr>
          <w:rFonts w:asciiTheme="minorHAnsi" w:hAnsiTheme="minorHAnsi" w:cstheme="minorHAnsi"/>
          <w:sz w:val="22"/>
          <w:szCs w:val="22"/>
        </w:rPr>
        <w:t xml:space="preserve">tillräckligt tydligt </w:t>
      </w:r>
      <w:r w:rsidRPr="00796EDF">
        <w:rPr>
          <w:rFonts w:asciiTheme="minorHAnsi" w:hAnsiTheme="minorHAnsi" w:cstheme="minorHAnsi"/>
          <w:sz w:val="22"/>
          <w:szCs w:val="22"/>
        </w:rPr>
        <w:t xml:space="preserve">hur behov och förankring hos vårdinstanser säkerställts. </w:t>
      </w:r>
      <w:r w:rsidR="00EA4F48" w:rsidRPr="00796EDF">
        <w:rPr>
          <w:rFonts w:asciiTheme="minorHAnsi" w:hAnsiTheme="minorHAnsi" w:cstheme="minorHAnsi"/>
          <w:sz w:val="22"/>
          <w:szCs w:val="22"/>
          <w:lang w:val="nn-NO"/>
        </w:rPr>
        <w:t xml:space="preserve">Flera av projektets resultat är beroende av att de utvecklas vidare av andra aktörer för att projektets resultat ska kunna bestå.  </w:t>
      </w:r>
    </w:p>
    <w:p w14:paraId="5FE300DF" w14:textId="77777777" w:rsidR="00041260" w:rsidRPr="00796EDF" w:rsidRDefault="00041260" w:rsidP="00041260">
      <w:pPr>
        <w:pStyle w:val="Brdtekst"/>
        <w:rPr>
          <w:rFonts w:asciiTheme="minorHAnsi" w:hAnsiTheme="minorHAnsi" w:cstheme="minorHAnsi"/>
          <w:sz w:val="22"/>
          <w:szCs w:val="22"/>
          <w:lang w:val="nn-NO"/>
        </w:rPr>
      </w:pPr>
    </w:p>
    <w:p w14:paraId="22A55BB5" w14:textId="23729834" w:rsidR="00041260" w:rsidRPr="00796EDF" w:rsidRDefault="00041260" w:rsidP="00041260">
      <w:pPr>
        <w:pStyle w:val="Brdtekst"/>
        <w:rPr>
          <w:rFonts w:asciiTheme="minorHAnsi" w:hAnsiTheme="minorHAnsi" w:cstheme="minorHAnsi"/>
          <w:sz w:val="22"/>
          <w:szCs w:val="22"/>
          <w:lang w:val="nn-NO"/>
        </w:rPr>
      </w:pPr>
      <w:r w:rsidRPr="00796EDF">
        <w:rPr>
          <w:rFonts w:asciiTheme="minorHAnsi" w:hAnsiTheme="minorHAnsi" w:cstheme="minorHAnsi"/>
          <w:sz w:val="22"/>
          <w:szCs w:val="22"/>
          <w:lang w:val="nn-NO"/>
        </w:rPr>
        <w:t>De sökande har relevant kompetens</w:t>
      </w:r>
      <w:r w:rsidR="00840D10" w:rsidRPr="00796EDF">
        <w:rPr>
          <w:rFonts w:asciiTheme="minorHAnsi" w:hAnsiTheme="minorHAnsi" w:cstheme="minorHAnsi"/>
          <w:sz w:val="22"/>
          <w:szCs w:val="22"/>
          <w:lang w:val="nn-NO"/>
        </w:rPr>
        <w:t xml:space="preserve"> för att genomföra projektet</w:t>
      </w:r>
      <w:r w:rsidRPr="00796EDF">
        <w:rPr>
          <w:rFonts w:asciiTheme="minorHAnsi" w:hAnsiTheme="minorHAnsi" w:cstheme="minorHAnsi"/>
          <w:sz w:val="22"/>
          <w:szCs w:val="22"/>
          <w:lang w:val="nn-NO"/>
        </w:rPr>
        <w:t xml:space="preserve">, men saknar mandat att implementera resultat i vården. Roller </w:t>
      </w:r>
      <w:r w:rsidR="00840D10" w:rsidRPr="00796EDF">
        <w:rPr>
          <w:rFonts w:asciiTheme="minorHAnsi" w:hAnsiTheme="minorHAnsi" w:cstheme="minorHAnsi"/>
          <w:sz w:val="22"/>
          <w:szCs w:val="22"/>
          <w:lang w:val="nn-NO"/>
        </w:rPr>
        <w:t xml:space="preserve">mellan projektaktörerna </w:t>
      </w:r>
      <w:r w:rsidRPr="00796EDF">
        <w:rPr>
          <w:rFonts w:asciiTheme="minorHAnsi" w:hAnsiTheme="minorHAnsi" w:cstheme="minorHAnsi"/>
          <w:sz w:val="22"/>
          <w:szCs w:val="22"/>
          <w:lang w:val="nn-NO"/>
        </w:rPr>
        <w:t xml:space="preserve">är väl beskrivna men uppdelade mellan länderna. Operativ och administrativ kapacitet bedöms som </w:t>
      </w:r>
      <w:r w:rsidR="00EA4F48" w:rsidRPr="00796EDF">
        <w:rPr>
          <w:rFonts w:asciiTheme="minorHAnsi" w:hAnsiTheme="minorHAnsi" w:cstheme="minorHAnsi"/>
          <w:sz w:val="22"/>
          <w:szCs w:val="22"/>
          <w:lang w:val="nn-NO"/>
        </w:rPr>
        <w:t xml:space="preserve">mycket </w:t>
      </w:r>
      <w:r w:rsidRPr="00796EDF">
        <w:rPr>
          <w:rFonts w:asciiTheme="minorHAnsi" w:hAnsiTheme="minorHAnsi" w:cstheme="minorHAnsi"/>
          <w:sz w:val="22"/>
          <w:szCs w:val="22"/>
          <w:lang w:val="nn-NO"/>
        </w:rPr>
        <w:t>god.</w:t>
      </w:r>
    </w:p>
    <w:p w14:paraId="3CBBE96C" w14:textId="77777777" w:rsidR="00041260" w:rsidRPr="00796EDF" w:rsidRDefault="00041260" w:rsidP="00041260">
      <w:pPr>
        <w:pStyle w:val="Brdtekst"/>
        <w:rPr>
          <w:rFonts w:asciiTheme="minorHAnsi" w:hAnsiTheme="minorHAnsi" w:cstheme="minorHAnsi"/>
          <w:sz w:val="22"/>
          <w:szCs w:val="22"/>
          <w:lang w:val="nn-NO"/>
        </w:rPr>
      </w:pPr>
    </w:p>
    <w:p w14:paraId="451763BC" w14:textId="1B7E48A8" w:rsidR="002757F8" w:rsidRPr="00796EDF" w:rsidRDefault="00041260" w:rsidP="00041260">
      <w:pPr>
        <w:pStyle w:val="Brdtekst"/>
        <w:rPr>
          <w:rFonts w:asciiTheme="minorHAnsi" w:hAnsiTheme="minorHAnsi" w:cstheme="minorHAnsi"/>
          <w:sz w:val="22"/>
          <w:szCs w:val="22"/>
          <w:lang w:val="nn-NO"/>
        </w:rPr>
      </w:pPr>
      <w:r w:rsidRPr="00796EDF">
        <w:rPr>
          <w:rFonts w:asciiTheme="minorHAnsi" w:hAnsiTheme="minorHAnsi" w:cstheme="minorHAnsi"/>
          <w:sz w:val="22"/>
          <w:szCs w:val="22"/>
          <w:lang w:val="nn-NO"/>
        </w:rPr>
        <w:t>Miljökriteriet fokuserar mer på möjliga konsekvenser än åtgärder. Jämställdhetsinsatser inkluderar mentorskap och stöd till unga kvinnliga forskare samt framhävande av kvinnliga förebilder. Insatser för likabehandling och ickediskriminering är begränsade till standardrutiner.</w:t>
      </w:r>
    </w:p>
    <w:p w14:paraId="711B38D6" w14:textId="77777777" w:rsidR="00EA4F48" w:rsidRPr="00796EDF" w:rsidRDefault="00EA4F48" w:rsidP="00C32E5B">
      <w:pPr>
        <w:pStyle w:val="Brdtekst"/>
        <w:spacing w:before="6"/>
        <w:rPr>
          <w:rFonts w:asciiTheme="minorHAnsi" w:hAnsiTheme="minorHAnsi" w:cstheme="minorHAnsi"/>
          <w:i/>
          <w:sz w:val="22"/>
          <w:szCs w:val="22"/>
          <w:lang w:val="nn-NO"/>
        </w:rPr>
      </w:pPr>
    </w:p>
    <w:p w14:paraId="2D59F711" w14:textId="634F37C4" w:rsidR="00C32E5B" w:rsidRPr="00796EDF" w:rsidRDefault="001D7A2B" w:rsidP="00C32E5B">
      <w:pPr>
        <w:pStyle w:val="Brdtekst"/>
        <w:spacing w:before="6"/>
        <w:rPr>
          <w:rFonts w:asciiTheme="minorHAnsi" w:hAnsiTheme="minorHAnsi" w:cstheme="minorHAnsi"/>
          <w:sz w:val="22"/>
          <w:szCs w:val="22"/>
          <w:lang w:val="nn-NO"/>
        </w:rPr>
      </w:pPr>
      <w:r w:rsidRPr="00796EDF">
        <w:rPr>
          <w:rFonts w:asciiTheme="minorHAnsi" w:hAnsiTheme="minorHAnsi" w:cstheme="minorHAnsi"/>
          <w:i/>
          <w:sz w:val="22"/>
          <w:szCs w:val="22"/>
          <w:lang w:val="nn-NO"/>
        </w:rPr>
        <w:t>Sekretariats vurdering av søknaden for hvert enkelt av utvalgskriteriene er samlet bakerst i prioriteringsunderlaget</w:t>
      </w:r>
    </w:p>
    <w:p w14:paraId="0934A337" w14:textId="59A9174C" w:rsidR="00C32E5B" w:rsidRPr="00C14338" w:rsidRDefault="00EA4F48" w:rsidP="00C32E5B">
      <w:pPr>
        <w:pStyle w:val="Overskrift2"/>
        <w:rPr>
          <w:rFonts w:asciiTheme="minorHAnsi" w:hAnsiTheme="minorHAnsi" w:cstheme="minorHAnsi"/>
          <w:sz w:val="28"/>
        </w:rPr>
      </w:pPr>
      <w:r>
        <w:rPr>
          <w:rFonts w:asciiTheme="minorHAnsi" w:hAnsiTheme="minorHAnsi" w:cstheme="minorHAnsi"/>
          <w:sz w:val="28"/>
        </w:rPr>
        <w:lastRenderedPageBreak/>
        <w:t>S</w:t>
      </w:r>
      <w:r w:rsidR="001D7A2B" w:rsidRPr="00C14338">
        <w:rPr>
          <w:rFonts w:asciiTheme="minorHAnsi" w:hAnsiTheme="minorHAnsi" w:cstheme="minorHAnsi"/>
          <w:sz w:val="28"/>
        </w:rPr>
        <w:t>ammanfattande projektbeskrivning</w:t>
      </w:r>
    </w:p>
    <w:p w14:paraId="436624DC" w14:textId="77777777" w:rsidR="00C32E5B" w:rsidRDefault="001D7A2B" w:rsidP="00C32E5B">
      <w:pPr>
        <w:pStyle w:val="Brdtekst"/>
        <w:rPr>
          <w:rFonts w:asciiTheme="minorHAnsi" w:hAnsiTheme="minorHAnsi" w:cstheme="minorHAnsi"/>
          <w:sz w:val="22"/>
          <w:szCs w:val="22"/>
        </w:rPr>
      </w:pPr>
      <w:r>
        <w:rPr>
          <w:rFonts w:asciiTheme="minorHAnsi" w:hAnsiTheme="minorHAnsi" w:cstheme="minorHAnsi"/>
          <w:sz w:val="22"/>
          <w:szCs w:val="22"/>
        </w:rPr>
        <w:t>Hjärt- och hjärnsjukdomar är några av de största hoten mot folkhälsa och livskvalitet. Tidig upptäckt och korrekt diagnos är avgörande för att förbättra överlevnad och minska behovet av långvarig vård. Idag finns sensorteknologier för att mäta hjärtljud, hjärtimpulser och hjärnans syresättning var för sig, men potentialen i att kombinera dessa signaler har ännu inte tagits tillvara fullt ut.</w:t>
      </w:r>
    </w:p>
    <w:p w14:paraId="4B740B40" w14:textId="77777777" w:rsidR="00140A7F" w:rsidRPr="00517C64" w:rsidRDefault="00140A7F" w:rsidP="00C32E5B">
      <w:pPr>
        <w:pStyle w:val="Brdtekst"/>
        <w:rPr>
          <w:rFonts w:asciiTheme="minorHAnsi" w:hAnsiTheme="minorHAnsi" w:cstheme="minorHAnsi"/>
          <w:sz w:val="22"/>
          <w:szCs w:val="22"/>
        </w:rPr>
      </w:pPr>
    </w:p>
    <w:p w14:paraId="40A0E862" w14:textId="13F3A4DE" w:rsidR="006D6F53" w:rsidRDefault="001D7A2B">
      <w:pPr>
        <w:pStyle w:val="Brdtekst"/>
        <w:rPr>
          <w:rFonts w:asciiTheme="minorHAnsi" w:hAnsiTheme="minorHAnsi" w:cstheme="minorHAnsi"/>
          <w:sz w:val="22"/>
          <w:szCs w:val="22"/>
        </w:rPr>
      </w:pPr>
      <w:r>
        <w:rPr>
          <w:rFonts w:asciiTheme="minorHAnsi" w:hAnsiTheme="minorHAnsi" w:cstheme="minorHAnsi"/>
          <w:sz w:val="22"/>
          <w:szCs w:val="22"/>
        </w:rPr>
        <w:t xml:space="preserve">Prosjektet samler forskere og bedrifter fra Mittuniversitetet i Sverige og NTNU i Norge, sammen med industripartnerne </w:t>
      </w:r>
      <w:r w:rsidRPr="00ED5F7A">
        <w:rPr>
          <w:rFonts w:asciiTheme="minorHAnsi" w:hAnsiTheme="minorHAnsi" w:cstheme="minorHAnsi"/>
          <w:sz w:val="22"/>
          <w:szCs w:val="22"/>
        </w:rPr>
        <w:t>Coala Solutions og CATE Medical Devices.</w:t>
      </w:r>
      <w:r>
        <w:rPr>
          <w:rFonts w:asciiTheme="minorHAnsi" w:hAnsiTheme="minorHAnsi" w:cstheme="minorHAnsi"/>
          <w:sz w:val="22"/>
          <w:szCs w:val="22"/>
        </w:rPr>
        <w:t xml:space="preserve"> Sammen skal de utvikle neste generasjons løsninger for helsemåling basert på sensorfusjon der ulike signaler kombineres for mer pålitelige resultater. På hjertesiden fokuserer Mittuniversitetet på å kombinere hjertelyder og elektriske impulser for å, med hjelp av AI, bedre kunne oppdage hjertesykdommer og lokalisere hvor i hjertet problemene oppstår. På hjernesiden bygger NTNU og CATE videre på den bærbare oksimeteren Oxycate ved å legge til EEG for å overvåke både oksygenering og hjerneaktivitet ved akutte tilstander som hjertestans, traumer og intensivbehandling. En viktig del av samarbeidet er at AI-metoder og erfaringer deles mellom de to sporene, slik at løsningene utvikles raskere og blir mer robuste gjennom kunnskapsoverføring på tvers av plattformer.</w:t>
      </w:r>
    </w:p>
    <w:p w14:paraId="29CD91A4" w14:textId="77777777" w:rsidR="00140A7F" w:rsidRDefault="00140A7F">
      <w:pPr>
        <w:pStyle w:val="Brdtekst"/>
        <w:rPr>
          <w:rFonts w:asciiTheme="minorHAnsi" w:hAnsiTheme="minorHAnsi" w:cstheme="minorHAnsi"/>
          <w:sz w:val="22"/>
          <w:szCs w:val="22"/>
        </w:rPr>
      </w:pPr>
    </w:p>
    <w:p w14:paraId="77FFD6FB" w14:textId="77777777" w:rsidR="006D6F53" w:rsidRDefault="001D7A2B">
      <w:pPr>
        <w:pStyle w:val="Brdtekst"/>
        <w:rPr>
          <w:rFonts w:asciiTheme="minorHAnsi" w:hAnsiTheme="minorHAnsi" w:cstheme="minorHAnsi"/>
          <w:sz w:val="22"/>
          <w:szCs w:val="22"/>
        </w:rPr>
      </w:pPr>
      <w:r>
        <w:rPr>
          <w:rFonts w:asciiTheme="minorHAnsi" w:hAnsiTheme="minorHAnsi" w:cstheme="minorHAnsi"/>
          <w:sz w:val="22"/>
          <w:szCs w:val="22"/>
        </w:rPr>
        <w:t>Projektet kommer att bedriva forskning och utveckling, samla in och analysera kliniska data, utveckla AI-modeller och integrera tekniken i prototyper. Resultaten väntas ge högre träffsäkerhet i diagnoser, bättre beslutsstöd för vården och på sikt ökad överlevnad och livskvalitet för patienter. Samtidigt stärks regionernas innovationskraft genom samarbetet över gränsen och genom att bygga ett nätverk som kan ta resultaten vidare till framtida kommersialisering.</w:t>
      </w:r>
    </w:p>
    <w:p w14:paraId="33E2D6F9" w14:textId="77777777" w:rsidR="009657F7" w:rsidRDefault="009657F7">
      <w:pPr>
        <w:pStyle w:val="Brdtekst"/>
        <w:rPr>
          <w:rFonts w:asciiTheme="minorHAnsi" w:hAnsiTheme="minorHAnsi" w:cstheme="minorHAnsi"/>
          <w:sz w:val="22"/>
          <w:szCs w:val="22"/>
        </w:rPr>
      </w:pPr>
    </w:p>
    <w:p w14:paraId="2CE76427" w14:textId="77777777" w:rsidR="00C32E5B" w:rsidRPr="00C14338" w:rsidRDefault="001D7A2B" w:rsidP="00C32E5B">
      <w:pPr>
        <w:pStyle w:val="Overskrift2"/>
        <w:rPr>
          <w:rFonts w:asciiTheme="minorHAnsi" w:hAnsiTheme="minorHAnsi" w:cstheme="minorHAnsi"/>
          <w:sz w:val="28"/>
        </w:rPr>
      </w:pPr>
      <w:r w:rsidRPr="00C14338">
        <w:rPr>
          <w:rFonts w:asciiTheme="minorHAnsi" w:hAnsiTheme="minorHAnsi" w:cstheme="minorHAnsi"/>
          <w:sz w:val="28"/>
        </w:rPr>
        <w:t>Bakgrund</w:t>
      </w:r>
    </w:p>
    <w:p w14:paraId="43FA0781" w14:textId="77777777" w:rsidR="00C32E5B" w:rsidRPr="00782D85" w:rsidRDefault="001D7A2B" w:rsidP="007503C5">
      <w:pPr>
        <w:pStyle w:val="Overskrift3"/>
        <w:rPr>
          <w:rFonts w:asciiTheme="minorHAnsi" w:hAnsiTheme="minorHAnsi" w:cstheme="minorHAnsi"/>
          <w:sz w:val="22"/>
          <w:szCs w:val="22"/>
        </w:rPr>
      </w:pPr>
      <w:r w:rsidRPr="00782D85">
        <w:rPr>
          <w:rFonts w:asciiTheme="minorHAnsi" w:hAnsiTheme="minorHAnsi" w:cstheme="minorHAnsi"/>
          <w:sz w:val="22"/>
          <w:szCs w:val="22"/>
        </w:rPr>
        <w:t xml:space="preserve">Varför behövs projektet? </w:t>
      </w:r>
    </w:p>
    <w:p w14:paraId="69FEC9CF" w14:textId="77777777" w:rsidR="007503C5" w:rsidRDefault="001D7A2B" w:rsidP="007503C5">
      <w:pPr>
        <w:rPr>
          <w:rFonts w:asciiTheme="minorHAnsi" w:hAnsiTheme="minorHAnsi" w:cstheme="minorHAnsi"/>
          <w:sz w:val="22"/>
          <w:szCs w:val="22"/>
        </w:rPr>
      </w:pPr>
      <w:r>
        <w:rPr>
          <w:rFonts w:asciiTheme="minorHAnsi" w:hAnsiTheme="minorHAnsi" w:cstheme="minorHAnsi"/>
          <w:sz w:val="22"/>
          <w:szCs w:val="22"/>
        </w:rPr>
        <w:t>Hjärt- och hjärnsjukdomar är bland de vanligaste orsakerna till död och långvarig funktionsnedsättning i både Sverige och Norge. Överlevnaden efter hjärtstopp är låg, och många som överlever får bestående neurologiska skador. Hjärt-kärlsjukdomar belastar vården kraftigt, särskilt i glesbygd där tillgången till specialistdiagnostik är begränsad. Det finns därför ett stort behov av tidigare och mer tillförlitlig diagnostik, både för att förbättra patienternas chanser och för att minska kostnaderna för sjukvårdssystemet.</w:t>
      </w:r>
    </w:p>
    <w:p w14:paraId="512A1DD9" w14:textId="77777777" w:rsidR="00140A7F" w:rsidRDefault="00140A7F" w:rsidP="007503C5">
      <w:pPr>
        <w:rPr>
          <w:rFonts w:asciiTheme="minorHAnsi" w:hAnsiTheme="minorHAnsi" w:cstheme="minorHAnsi"/>
          <w:sz w:val="22"/>
          <w:szCs w:val="22"/>
        </w:rPr>
      </w:pPr>
    </w:p>
    <w:p w14:paraId="6E910441"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Dagens kliniska praxis bygger ofta på separata metoder: hjärtljud eller EKG för hjärtat, och syremättnad (NIRS) eller EEG för hjärnan. Varje metod ger viktig information, men ingen ensam kan ge en helhetsbild. Detta gör att diagnostiken blir osäker, särskilt under tidspress i akuta situationer. Resultatet är försenade eller felaktiga beslut, vilket leder till sämre överlevnad, fler komplikationer och ökade kostnader.</w:t>
      </w:r>
    </w:p>
    <w:p w14:paraId="75B64716" w14:textId="77777777" w:rsidR="00140A7F" w:rsidRDefault="00140A7F">
      <w:pPr>
        <w:rPr>
          <w:rFonts w:asciiTheme="minorHAnsi" w:hAnsiTheme="minorHAnsi" w:cstheme="minorHAnsi"/>
          <w:sz w:val="22"/>
          <w:szCs w:val="22"/>
        </w:rPr>
      </w:pPr>
    </w:p>
    <w:p w14:paraId="4C5D2DB2"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For NTNU og helseaktører i Norge er utfordringen særlig knyttet til akutt kritisk sykdom  som hjertestans, traumer og intensivbehandling  hvor oksygentilførsel til hjernen er truet. Selv med moderne gjenopplivningsteknikker er det vanskelig å forutsi nevrologisk utfall, fordi dagens monitoreringsverktøy er fragmenterte. En ny tilnærming er å kombinere cerebral oksimetri </w:t>
      </w:r>
      <w:r>
        <w:rPr>
          <w:rFonts w:asciiTheme="minorHAnsi" w:hAnsiTheme="minorHAnsi" w:cstheme="minorHAnsi"/>
          <w:sz w:val="22"/>
          <w:szCs w:val="22"/>
        </w:rPr>
        <w:lastRenderedPageBreak/>
        <w:t>(NIRS) med EEG for å gi både informasjon om oksygentilførsel og hjernens respons. Dette kan gi klinikere et mer helhetlig beslutningsgrunnlag i sanntid.</w:t>
      </w:r>
    </w:p>
    <w:p w14:paraId="0246A87F" w14:textId="77777777" w:rsidR="00140A7F" w:rsidRDefault="00140A7F">
      <w:pPr>
        <w:rPr>
          <w:rFonts w:asciiTheme="minorHAnsi" w:hAnsiTheme="minorHAnsi" w:cstheme="minorHAnsi"/>
          <w:sz w:val="22"/>
          <w:szCs w:val="22"/>
        </w:rPr>
      </w:pPr>
    </w:p>
    <w:p w14:paraId="2DAED7B6"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För Mittuniversitetet handlar utmaningen om att förbättra AI-baserad hjärtdiagnostik genom att kombinera hjärtljud och elektriska signaler. En förstudie har visat att träffsäkerheten ökar betydligt när signalerna analyseras tillsammans jämfört med var för sig. Potentialen är att med hjälp av Coala Solutions plattform utveckla en kommersiellt gångbar lösning som kan användas både i primärvården och i patientnära miljöer.</w:t>
      </w:r>
    </w:p>
    <w:p w14:paraId="73E432C1" w14:textId="77777777" w:rsidR="00140A7F" w:rsidRDefault="00140A7F">
      <w:pPr>
        <w:rPr>
          <w:rFonts w:asciiTheme="minorHAnsi" w:hAnsiTheme="minorHAnsi" w:cstheme="minorHAnsi"/>
          <w:sz w:val="22"/>
          <w:szCs w:val="22"/>
        </w:rPr>
      </w:pPr>
    </w:p>
    <w:p w14:paraId="279636FD"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En viktig dimension i projektet är kunskapsutbytet mellan de två fallen. AI-metoder som utvecklas för hjärtdata kan användas som grund i analysen av hjärnsignaler, medan NTNU:s erfarenhet av artefakthantering från EEG/NIRS kan tillämpas på hjärtsignaler. Dette gjensidige læringsløpet gir bedre og mer robuste løsninger, og bidrar til at begge plattformene utvikles raskere enn om de hadde blitt utviklet isolert.</w:t>
      </w:r>
    </w:p>
    <w:p w14:paraId="65BA79B7" w14:textId="77777777" w:rsidR="00140A7F" w:rsidRDefault="00140A7F">
      <w:pPr>
        <w:rPr>
          <w:rFonts w:asciiTheme="minorHAnsi" w:hAnsiTheme="minorHAnsi" w:cstheme="minorHAnsi"/>
          <w:sz w:val="22"/>
          <w:szCs w:val="22"/>
        </w:rPr>
      </w:pPr>
    </w:p>
    <w:p w14:paraId="48C84188"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Utmaningen i programgeografin är därmed dubbel: dels att möta akuta vårdbehov med mer pålitliga verktyg, dels att bygga regional innovationskraft inom medicinteknik. Genom att kombinera universitetens forskningskompetens, industrins innovationsförmåga och vårdens behov kan projektet utveckla generiska lösningar som är relevanta för både Sverige och Norge  och som på sikt kan bidra till jämlikare vård även internationellt.</w:t>
      </w:r>
    </w:p>
    <w:p w14:paraId="4586CC08" w14:textId="77777777" w:rsidR="00C14338" w:rsidRPr="00A12469" w:rsidRDefault="001D7A2B" w:rsidP="00C14338">
      <w:pPr>
        <w:pStyle w:val="Overskrift3"/>
        <w:rPr>
          <w:rFonts w:asciiTheme="minorHAnsi" w:hAnsiTheme="minorHAnsi" w:cstheme="minorHAnsi"/>
          <w:sz w:val="22"/>
          <w:szCs w:val="22"/>
        </w:rPr>
      </w:pPr>
      <w:r w:rsidRPr="00A12469">
        <w:rPr>
          <w:rFonts w:asciiTheme="minorHAnsi" w:hAnsiTheme="minorHAnsi" w:cstheme="minorHAnsi"/>
          <w:sz w:val="22"/>
          <w:szCs w:val="22"/>
        </w:rPr>
        <w:t xml:space="preserve">Samband med övriga insatser </w:t>
      </w:r>
    </w:p>
    <w:p w14:paraId="5F4E2FA3" w14:textId="77777777" w:rsidR="00C14338" w:rsidRDefault="001D7A2B" w:rsidP="00C14338">
      <w:pPr>
        <w:rPr>
          <w:rFonts w:asciiTheme="minorHAnsi" w:hAnsiTheme="minorHAnsi" w:cstheme="minorHAnsi"/>
          <w:sz w:val="22"/>
          <w:szCs w:val="22"/>
        </w:rPr>
      </w:pPr>
      <w:r>
        <w:rPr>
          <w:rFonts w:asciiTheme="minorHAnsi" w:hAnsiTheme="minorHAnsi" w:cstheme="minorHAnsi"/>
          <w:sz w:val="22"/>
          <w:szCs w:val="22"/>
        </w:rPr>
        <w:t>Mittuniversitetet har lång erfarenhet av forsknings- och innovationsprojekt finansierade av EU och nationella program. Forskargruppen har bedrivit flera framgångsrika satsningar på sensorteknologi, AI och digital hälsa. En förstudie baserad på öppna data har redan visat att träffsäkerheten i hjärtdiagnostik kan förbättras betydligt när hjärtljud kombineras med EKG och analyseras med AI. Detta arbete ger en stark vetenskaplig grund för projektet. I nära samarbete med Coala Solutions finns också en kommersiell plattform för hjärtmonitorering, vilket innebär att forskningsresultat kan testas och integreras i en befintlig produktlinje med hög marknadspotential.</w:t>
      </w:r>
    </w:p>
    <w:p w14:paraId="48F89B21" w14:textId="77777777" w:rsidR="00140A7F" w:rsidRDefault="00140A7F" w:rsidP="00C14338">
      <w:pPr>
        <w:rPr>
          <w:rFonts w:asciiTheme="minorHAnsi" w:hAnsiTheme="minorHAnsi" w:cstheme="minorHAnsi"/>
          <w:sz w:val="22"/>
          <w:szCs w:val="22"/>
        </w:rPr>
      </w:pPr>
    </w:p>
    <w:p w14:paraId="55866D29"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NTNU, gjennom HUM-gruppen ved St. Olavs hospital, har omfattende erfaring med translasjonsforskning og klinisk validering av medisinsk teknologi. Gruppen har deltatt i flere store prosjekter innen akuttmedisin og intensivbehandling, og har vært en viktig partner i utviklingen av Oxycate-systemet sammen med CATE Medical Devices. Prototypene er validert in-vitro, og den neste fasen er å teste utvidede løsninger med EEG i realistiske kliniske settinger. Tidligere prosjekter som SmartKjemi og IRIS har gitt NTNU solid erfaring med beslutningsstøtte og sensorteknologi, som nå kan videreføres inn i dette prosjektet.</w:t>
      </w:r>
    </w:p>
    <w:p w14:paraId="21169BC8"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Industriella partnerskap är en central utgångspunkt. Coala Solutions har etablerat sig som en aktör inom digital hjärtmonitorering och har lång erfarenhet av datainsamling och annotering i kliniska miljöer. CATE Medical Devices är ett nystartat företag med rötter i Trondheim, som med Oxycate utvecklar bärbara lösningar för hjärnmonitorering i akutsjukvård. Kombinationen av ett etablerat bolag med marknadserfarenhet och ett nytt innovativt företag stärker projektets förmåga att ta resultaten vidare.</w:t>
      </w:r>
    </w:p>
    <w:p w14:paraId="0D831E6B" w14:textId="77777777" w:rsidR="00140A7F" w:rsidRDefault="00140A7F">
      <w:pPr>
        <w:rPr>
          <w:rFonts w:asciiTheme="minorHAnsi" w:hAnsiTheme="minorHAnsi" w:cstheme="minorHAnsi"/>
          <w:sz w:val="22"/>
          <w:szCs w:val="22"/>
        </w:rPr>
      </w:pPr>
    </w:p>
    <w:p w14:paraId="7B6311FB" w14:textId="4FA38F58"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En viktig skillnad jämfört med tidigare insatser är att de i huvudsak har fokuserat på enskilda modaliteter hjärtljud och EKG i Sverige, eller NIRS i Norge. Nå gir prosjektet en unik mulighet til å bringe disse sporene sammen i et felles rammeverk for sensorfusjon og AI. AI-metoder utviklet ved Mittuniversitetet kan testes og tilpasses hjernedata, mens NTNUs erfaring med </w:t>
      </w:r>
      <w:r>
        <w:rPr>
          <w:rFonts w:asciiTheme="minorHAnsi" w:hAnsiTheme="minorHAnsi" w:cstheme="minorHAnsi"/>
          <w:sz w:val="22"/>
          <w:szCs w:val="22"/>
        </w:rPr>
        <w:lastRenderedPageBreak/>
        <w:t>artefakthåndtering fra EEG/NIRS kan brukes til å forbedre hjertesignalene. Dette gjensidige læringsløpet gir mer robuste og generaliserbare løsninger som kan brukes på tvers av kliniske områder.</w:t>
      </w:r>
    </w:p>
    <w:p w14:paraId="03BEBFAE" w14:textId="77777777" w:rsidR="00140A7F" w:rsidRDefault="00140A7F">
      <w:pPr>
        <w:rPr>
          <w:rFonts w:asciiTheme="minorHAnsi" w:hAnsiTheme="minorHAnsi" w:cstheme="minorHAnsi"/>
          <w:sz w:val="22"/>
          <w:szCs w:val="22"/>
        </w:rPr>
      </w:pPr>
    </w:p>
    <w:p w14:paraId="22B5D195"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Genom att bygga vidare på tidigare initiativ och befintliga prototyper, samtidigt som nya synergier mellan de två plattformarna skapas, blir projektet nästa logiska steg i utvecklingen av multimodal monitorering. Det stärker både forskningsmiljöerna i regionen och innovationskraften hos små och medelstora företag, och lägger grunden för framtida samarbete över gränsen.</w:t>
      </w:r>
    </w:p>
    <w:p w14:paraId="3435FD4C" w14:textId="77777777" w:rsidR="00C32E5B" w:rsidRPr="00C14338" w:rsidRDefault="001D7A2B" w:rsidP="003C1D18">
      <w:pPr>
        <w:pStyle w:val="Overskrift2"/>
        <w:rPr>
          <w:b w:val="0"/>
          <w:sz w:val="28"/>
        </w:rPr>
      </w:pPr>
      <w:r w:rsidRPr="00C14338">
        <w:rPr>
          <w:rFonts w:asciiTheme="minorHAnsi" w:hAnsiTheme="minorHAnsi" w:cstheme="minorHAnsi"/>
          <w:sz w:val="28"/>
        </w:rPr>
        <w:t>Mål</w:t>
      </w:r>
    </w:p>
    <w:p w14:paraId="164320FB" w14:textId="77777777" w:rsidR="00C32E5B" w:rsidRDefault="001D7A2B" w:rsidP="00BD2476">
      <w:pPr>
        <w:rPr>
          <w:rFonts w:asciiTheme="minorHAnsi" w:hAnsiTheme="minorHAnsi" w:cstheme="minorHAnsi"/>
          <w:bCs/>
          <w:sz w:val="22"/>
          <w:szCs w:val="22"/>
        </w:rPr>
      </w:pPr>
      <w:r>
        <w:rPr>
          <w:rFonts w:asciiTheme="minorHAnsi" w:hAnsiTheme="minorHAnsi" w:cstheme="minorHAnsi"/>
          <w:bCs/>
          <w:sz w:val="22"/>
          <w:szCs w:val="22"/>
        </w:rPr>
        <w:t>Projektets mål är att förbättra diagnostik och monitorering av hjärt- och hjärnsjukdomar genom sensorfusion och AI. I dagens vård används signaler ofta var för sig, vilket begränsar träffsäkerheten och försenar beslut.</w:t>
      </w:r>
    </w:p>
    <w:p w14:paraId="7EB892FC" w14:textId="77777777" w:rsidR="00140A7F" w:rsidRDefault="00140A7F" w:rsidP="00BD2476">
      <w:pPr>
        <w:rPr>
          <w:sz w:val="21"/>
        </w:rPr>
      </w:pPr>
    </w:p>
    <w:p w14:paraId="285504E4" w14:textId="77777777" w:rsidR="006D6F53" w:rsidRDefault="001D7A2B">
      <w:pPr>
        <w:rPr>
          <w:rFonts w:asciiTheme="minorHAnsi" w:hAnsiTheme="minorHAnsi" w:cstheme="minorHAnsi"/>
          <w:bCs/>
          <w:sz w:val="22"/>
          <w:szCs w:val="22"/>
        </w:rPr>
      </w:pPr>
      <w:r>
        <w:rPr>
          <w:rFonts w:asciiTheme="minorHAnsi" w:hAnsiTheme="minorHAnsi" w:cstheme="minorHAnsi"/>
          <w:bCs/>
          <w:sz w:val="22"/>
          <w:szCs w:val="22"/>
        </w:rPr>
        <w:t>Mittuniversitetet, i samarbete med Coala Solutions, ska utveckla AI-modeller som kombinerar hjärtljud och EKG för att öka noggrannheten i diagnostiken och möjliggöra tidigare upptäckt av hjärtsjukdomar.</w:t>
      </w:r>
    </w:p>
    <w:p w14:paraId="362451CA" w14:textId="77777777" w:rsidR="00140A7F" w:rsidRDefault="00140A7F">
      <w:pPr>
        <w:rPr>
          <w:sz w:val="21"/>
        </w:rPr>
      </w:pPr>
    </w:p>
    <w:p w14:paraId="60A97226" w14:textId="77777777" w:rsidR="006D6F53" w:rsidRDefault="001D7A2B">
      <w:pPr>
        <w:rPr>
          <w:rFonts w:asciiTheme="minorHAnsi" w:hAnsiTheme="minorHAnsi" w:cstheme="minorHAnsi"/>
          <w:bCs/>
          <w:sz w:val="22"/>
          <w:szCs w:val="22"/>
        </w:rPr>
      </w:pPr>
      <w:r>
        <w:rPr>
          <w:rFonts w:asciiTheme="minorHAnsi" w:hAnsiTheme="minorHAnsi" w:cstheme="minorHAnsi"/>
          <w:bCs/>
          <w:sz w:val="22"/>
          <w:szCs w:val="22"/>
        </w:rPr>
        <w:t>NTNU og CATE Medical Devices vil videreutvikle Oxycate-systemet ved å integrere EEG med NIRS, slik at både oksygenering og hjerneaktivitet kan monitoreres i akutte situasjoner som hjertestans, traumer og intensivbehandling.</w:t>
      </w:r>
    </w:p>
    <w:p w14:paraId="23118837" w14:textId="77777777" w:rsidR="00140A7F" w:rsidRDefault="00140A7F">
      <w:pPr>
        <w:rPr>
          <w:sz w:val="21"/>
        </w:rPr>
      </w:pPr>
    </w:p>
    <w:p w14:paraId="5F8CF50B" w14:textId="77777777" w:rsidR="006D6F53" w:rsidRDefault="001D7A2B">
      <w:pPr>
        <w:rPr>
          <w:sz w:val="21"/>
        </w:rPr>
      </w:pPr>
      <w:r>
        <w:rPr>
          <w:rFonts w:asciiTheme="minorHAnsi" w:hAnsiTheme="minorHAnsi" w:cstheme="minorHAnsi"/>
          <w:bCs/>
          <w:sz w:val="22"/>
          <w:szCs w:val="22"/>
        </w:rPr>
        <w:t>En central del är att AI-metoder och analysstrategier delas mellan de två fallen. Dette gjør at prosjektet ikke bare utvikler to løsninger parallelt, men også bygger et felles kunnskapsgrunnlag. Resultatet blir validerte prototyper och algoritmer som ger vården bättre beslutsstöd och som kan tas vidare mot kommersialisering och bred användning.</w:t>
      </w:r>
    </w:p>
    <w:p w14:paraId="3DA18DA6" w14:textId="77777777" w:rsidR="006629DB" w:rsidRDefault="006629DB" w:rsidP="006629DB">
      <w:pPr>
        <w:rPr>
          <w:rFonts w:asciiTheme="minorHAnsi" w:hAnsiTheme="minorHAnsi" w:cstheme="minorHAnsi"/>
          <w:sz w:val="22"/>
          <w:szCs w:val="22"/>
        </w:rPr>
      </w:pPr>
    </w:p>
    <w:p w14:paraId="79C3ED4C" w14:textId="77777777" w:rsidR="006629DB" w:rsidRPr="00C14338" w:rsidRDefault="001D7A2B" w:rsidP="006629DB">
      <w:pPr>
        <w:rPr>
          <w:rFonts w:asciiTheme="minorHAnsi" w:hAnsiTheme="minorHAnsi" w:cstheme="minorHAnsi"/>
          <w:b/>
          <w:bCs/>
          <w:sz w:val="28"/>
          <w:szCs w:val="28"/>
        </w:rPr>
      </w:pPr>
      <w:r w:rsidRPr="00C14338">
        <w:rPr>
          <w:rFonts w:asciiTheme="minorHAnsi" w:hAnsiTheme="minorHAnsi" w:cstheme="minorHAnsi"/>
          <w:b/>
          <w:bCs/>
          <w:sz w:val="28"/>
          <w:szCs w:val="28"/>
        </w:rPr>
        <w:t xml:space="preserve">Målgrupp </w:t>
      </w:r>
    </w:p>
    <w:p w14:paraId="23578274" w14:textId="77777777" w:rsidR="00C32E5B" w:rsidRPr="00A12469" w:rsidRDefault="001D7A2B" w:rsidP="00950656">
      <w:pPr>
        <w:pStyle w:val="Overskrift3"/>
        <w:rPr>
          <w:rFonts w:asciiTheme="minorHAnsi" w:hAnsiTheme="minorHAnsi" w:cstheme="minorHAnsi"/>
          <w:sz w:val="22"/>
          <w:szCs w:val="22"/>
        </w:rPr>
      </w:pPr>
      <w:r w:rsidRPr="00A12469">
        <w:rPr>
          <w:rFonts w:asciiTheme="minorHAnsi" w:hAnsiTheme="minorHAnsi" w:cstheme="minorHAnsi"/>
          <w:sz w:val="22"/>
          <w:szCs w:val="22"/>
        </w:rPr>
        <w:t xml:space="preserve">Kommentar till målgrupp </w:t>
      </w:r>
    </w:p>
    <w:p w14:paraId="6F347394" w14:textId="598C5A77" w:rsidR="001E43DE" w:rsidRDefault="001D7A2B" w:rsidP="001E43DE">
      <w:pPr>
        <w:rPr>
          <w:rFonts w:asciiTheme="minorHAnsi" w:hAnsiTheme="minorHAnsi" w:cstheme="minorHAnsi"/>
          <w:sz w:val="22"/>
          <w:szCs w:val="22"/>
        </w:rPr>
      </w:pPr>
      <w:r>
        <w:rPr>
          <w:rFonts w:asciiTheme="minorHAnsi" w:hAnsiTheme="minorHAnsi" w:cstheme="minorHAnsi"/>
          <w:sz w:val="22"/>
          <w:szCs w:val="22"/>
        </w:rPr>
        <w:t>Projektets huvudsakliga målgrupp är den offentliga hälso- och sjukvården i Sverige och Norge. Sjukhus, akutmottagningar, primärvård och regionala vårdgivare bär huvudansvaret för att säkerställa tidig upptäckt och behandling av hjärt- och hjärnsjukdomar. De behöver nya verktyg som är mer träffsäkra, enklare att använda och anpassade till verkliga kliniska miljöer.</w:t>
      </w:r>
    </w:p>
    <w:p w14:paraId="02E4AA10" w14:textId="77777777" w:rsidR="00140A7F" w:rsidRPr="001E43DE" w:rsidRDefault="00140A7F" w:rsidP="001E43DE">
      <w:pPr>
        <w:rPr>
          <w:rFonts w:asciiTheme="minorHAnsi" w:hAnsiTheme="minorHAnsi" w:cstheme="minorHAnsi"/>
          <w:sz w:val="22"/>
          <w:szCs w:val="22"/>
        </w:rPr>
      </w:pPr>
    </w:p>
    <w:p w14:paraId="4A42F3FE" w14:textId="192517D7"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For NTNU og helseaktører i Norge </w:t>
      </w:r>
      <w:r w:rsidR="00DA170A">
        <w:rPr>
          <w:rFonts w:asciiTheme="minorHAnsi" w:hAnsiTheme="minorHAnsi" w:cstheme="minorHAnsi"/>
          <w:sz w:val="22"/>
          <w:szCs w:val="22"/>
        </w:rPr>
        <w:t>er målgruppen</w:t>
      </w:r>
      <w:r>
        <w:rPr>
          <w:rFonts w:asciiTheme="minorHAnsi" w:hAnsiTheme="minorHAnsi" w:cstheme="minorHAnsi"/>
          <w:sz w:val="22"/>
          <w:szCs w:val="22"/>
        </w:rPr>
        <w:t xml:space="preserve"> særlig knyttet til akutt- og intensivmedisin. Ambulanse- og akuttmedisinske tjenester trenger bedre beslutningsstøtte i sanntid for å håndtere pasienter med hjertestans, traumer og alvorlige nevrologiske tilstander. I rurale områder, hvor avstanden til spesialistsykehus er stor, er det spesielt viktig å kunne ta i bruk bærbare systemer som Oxycate for å sikre likeverdig behandling.</w:t>
      </w:r>
    </w:p>
    <w:p w14:paraId="1B412CF4" w14:textId="77777777" w:rsidR="00140A7F" w:rsidRDefault="00140A7F">
      <w:pPr>
        <w:rPr>
          <w:rFonts w:asciiTheme="minorHAnsi" w:hAnsiTheme="minorHAnsi" w:cstheme="minorHAnsi"/>
          <w:sz w:val="22"/>
          <w:szCs w:val="22"/>
        </w:rPr>
      </w:pPr>
    </w:p>
    <w:p w14:paraId="0597419A"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Sekundära målgrupper inkluderar industriella aktörer och små och medelstora företag. Coala Solutions och CATE Medical Devices är centrala partners, men projektet kommer också att öppna för att andra företag kan dra nytta av resultaten genom tillgång till nätverk och kunskap. Akademiska forskare är en annan viktig målgrupp, då projektet genererar data, AI-metoder och publikationer som kan ligga till grund för fortsatt forskning.</w:t>
      </w:r>
    </w:p>
    <w:p w14:paraId="28317CF9" w14:textId="77777777" w:rsidR="00140A7F" w:rsidRDefault="00140A7F">
      <w:pPr>
        <w:rPr>
          <w:rFonts w:asciiTheme="minorHAnsi" w:hAnsiTheme="minorHAnsi" w:cstheme="minorHAnsi"/>
          <w:sz w:val="22"/>
          <w:szCs w:val="22"/>
        </w:rPr>
      </w:pPr>
    </w:p>
    <w:p w14:paraId="16BC5AC2"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lastRenderedPageBreak/>
        <w:t>Policymakers og helsemyndigheter utgjør en tredje målgruppe. De trenger kunnskapsgrunnlag for å ta beslutninger om investeringer i ny teknologi, reguleringer og innovasjon i helsevesenet. Ved å involvere disse aktørene gjennom workshops og dialog, sikrer prosjektet at resultatene er relevante for politiske prioriteringer.</w:t>
      </w:r>
    </w:p>
    <w:p w14:paraId="04EEED18" w14:textId="77777777" w:rsidR="00140A7F" w:rsidRDefault="00140A7F">
      <w:pPr>
        <w:rPr>
          <w:rFonts w:asciiTheme="minorHAnsi" w:hAnsiTheme="minorHAnsi" w:cstheme="minorHAnsi"/>
          <w:sz w:val="22"/>
          <w:szCs w:val="22"/>
        </w:rPr>
      </w:pPr>
    </w:p>
    <w:p w14:paraId="52F28597"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Patienter och patientorganisationer utgör också en viktig intressentgrupp. För dem innebär projektet ökad chans till överlevnad, färre bestående skador och bättre livskvalitet. Genom att kommunicera med patientföreningar kan projektet också bygga tillit till ny teknik och säkerställa att lösningarna utformas utifrån verkliga behov.</w:t>
      </w:r>
    </w:p>
    <w:p w14:paraId="72E1A072" w14:textId="77777777" w:rsidR="00140A7F" w:rsidRDefault="00140A7F">
      <w:pPr>
        <w:rPr>
          <w:rFonts w:asciiTheme="minorHAnsi" w:hAnsiTheme="minorHAnsi" w:cstheme="minorHAnsi"/>
          <w:sz w:val="22"/>
          <w:szCs w:val="22"/>
        </w:rPr>
      </w:pPr>
    </w:p>
    <w:p w14:paraId="3CFBC5C7"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En särskild styrka i projektet är att vårdgivarna inte bara får nya verktyg för hjärt- respektive hjärnmonitorering, utan också nytta av kunskapsöverföringen mellan de två områdena. AI-metoder utvecklade för hjärtdata testas i hjärnmonitorering, och NTNU:s erfarenhet av artefakthantering från EEG/NIRS ger insikter för hjärtanalyser. Denne gjensidige læringen gjør at resultatene blir mer robuste og anvendbare i flere kliniske sammenhenger.</w:t>
      </w:r>
    </w:p>
    <w:p w14:paraId="108B3630" w14:textId="77777777" w:rsidR="00140A7F" w:rsidRDefault="00140A7F">
      <w:pPr>
        <w:rPr>
          <w:rFonts w:asciiTheme="minorHAnsi" w:hAnsiTheme="minorHAnsi" w:cstheme="minorHAnsi"/>
          <w:sz w:val="22"/>
          <w:szCs w:val="22"/>
        </w:rPr>
      </w:pPr>
    </w:p>
    <w:p w14:paraId="21DF278E" w14:textId="78775A66"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För att nå målgrupperna arbetar projektet med flera kanaler: kontinuerlig dialog med vårdpersonal via referensgrupper och pilotstudier, workshops och konferenser riktade mot industrin och forskarsamhället, samt vetenskapliga publikationer och digital kommunikation för bredare spridning. </w:t>
      </w:r>
    </w:p>
    <w:p w14:paraId="08FD3846" w14:textId="77777777" w:rsidR="00C32E5B" w:rsidRPr="00C14338" w:rsidRDefault="001D7A2B" w:rsidP="00C32E5B">
      <w:pPr>
        <w:pStyle w:val="Overskrift2"/>
        <w:rPr>
          <w:rFonts w:asciiTheme="minorHAnsi" w:hAnsiTheme="minorHAnsi" w:cstheme="minorHAnsi"/>
          <w:sz w:val="28"/>
        </w:rPr>
      </w:pPr>
      <w:r w:rsidRPr="00C14338">
        <w:rPr>
          <w:rFonts w:asciiTheme="minorHAnsi" w:hAnsiTheme="minorHAnsi" w:cstheme="minorHAnsi"/>
          <w:sz w:val="28"/>
        </w:rPr>
        <w:t>Resultat</w:t>
      </w:r>
    </w:p>
    <w:p w14:paraId="7564860E" w14:textId="77777777" w:rsidR="00C32E5B" w:rsidRPr="00D14C6F" w:rsidRDefault="001D7A2B" w:rsidP="00DF3D35">
      <w:pPr>
        <w:pStyle w:val="Overskrift3"/>
        <w:rPr>
          <w:rFonts w:asciiTheme="minorHAnsi" w:hAnsiTheme="minorHAnsi" w:cstheme="minorHAnsi"/>
          <w:sz w:val="22"/>
          <w:szCs w:val="22"/>
        </w:rPr>
      </w:pPr>
      <w:r w:rsidRPr="00D14C6F">
        <w:rPr>
          <w:rFonts w:asciiTheme="minorHAnsi" w:hAnsiTheme="minorHAnsi" w:cstheme="minorHAnsi"/>
          <w:sz w:val="22"/>
          <w:szCs w:val="22"/>
        </w:rPr>
        <w:t xml:space="preserve">Förväntade resultat av projektet </w:t>
      </w:r>
    </w:p>
    <w:p w14:paraId="2C77C2DE" w14:textId="47AA90A0" w:rsidR="00DF3D35" w:rsidRPr="00140A7F" w:rsidRDefault="001D7A2B" w:rsidP="00DF3D35">
      <w:pPr>
        <w:rPr>
          <w:rFonts w:asciiTheme="minorHAnsi" w:hAnsiTheme="minorHAnsi" w:cstheme="minorHAnsi"/>
          <w:sz w:val="22"/>
          <w:szCs w:val="22"/>
          <w:u w:val="single"/>
        </w:rPr>
      </w:pPr>
      <w:r w:rsidRPr="00140A7F">
        <w:rPr>
          <w:rFonts w:asciiTheme="minorHAnsi" w:hAnsiTheme="minorHAnsi" w:cstheme="minorHAnsi"/>
          <w:sz w:val="22"/>
          <w:szCs w:val="22"/>
          <w:u w:val="single"/>
        </w:rPr>
        <w:t>Vetenskapliga och teknologiska resultat</w:t>
      </w:r>
      <w:r w:rsidR="00140A7F">
        <w:rPr>
          <w:rFonts w:asciiTheme="minorHAnsi" w:hAnsiTheme="minorHAnsi" w:cstheme="minorHAnsi"/>
          <w:sz w:val="22"/>
          <w:szCs w:val="22"/>
          <w:u w:val="single"/>
        </w:rPr>
        <w:t>:</w:t>
      </w:r>
    </w:p>
    <w:p w14:paraId="430D40E3" w14:textId="77777777" w:rsidR="00140A7F" w:rsidRDefault="001D7A2B" w:rsidP="00140A7F">
      <w:pPr>
        <w:pStyle w:val="Listeavsnitt"/>
        <w:numPr>
          <w:ilvl w:val="0"/>
          <w:numId w:val="4"/>
        </w:numPr>
        <w:rPr>
          <w:rFonts w:asciiTheme="minorHAnsi" w:hAnsiTheme="minorHAnsi" w:cstheme="minorHAnsi"/>
          <w:sz w:val="22"/>
          <w:szCs w:val="22"/>
        </w:rPr>
      </w:pPr>
      <w:r w:rsidRPr="00140A7F">
        <w:rPr>
          <w:rFonts w:asciiTheme="minorHAnsi" w:hAnsiTheme="minorHAnsi" w:cstheme="minorHAnsi"/>
          <w:sz w:val="22"/>
          <w:szCs w:val="22"/>
        </w:rPr>
        <w:t>Validerade AI-modeller för multimodal hjärtdiagnostik, där hjärtljud och EKG kombineras.</w:t>
      </w:r>
    </w:p>
    <w:p w14:paraId="2EE38384" w14:textId="77777777" w:rsidR="00140A7F" w:rsidRDefault="001D7A2B" w:rsidP="00140A7F">
      <w:pPr>
        <w:pStyle w:val="Listeavsnitt"/>
        <w:numPr>
          <w:ilvl w:val="0"/>
          <w:numId w:val="4"/>
        </w:numPr>
        <w:rPr>
          <w:rFonts w:asciiTheme="minorHAnsi" w:hAnsiTheme="minorHAnsi" w:cstheme="minorHAnsi"/>
          <w:sz w:val="22"/>
          <w:szCs w:val="22"/>
        </w:rPr>
      </w:pPr>
      <w:r w:rsidRPr="00140A7F">
        <w:rPr>
          <w:rFonts w:asciiTheme="minorHAnsi" w:hAnsiTheme="minorHAnsi" w:cstheme="minorHAnsi"/>
          <w:sz w:val="22"/>
          <w:szCs w:val="22"/>
        </w:rPr>
        <w:t>Prototypintegration i Coala Solutions trådlösa stetoskop för användning i vården.</w:t>
      </w:r>
    </w:p>
    <w:p w14:paraId="736F44A2" w14:textId="77777777" w:rsidR="00140A7F" w:rsidRDefault="001D7A2B" w:rsidP="00140A7F">
      <w:pPr>
        <w:pStyle w:val="Listeavsnitt"/>
        <w:numPr>
          <w:ilvl w:val="0"/>
          <w:numId w:val="4"/>
        </w:numPr>
        <w:rPr>
          <w:rFonts w:asciiTheme="minorHAnsi" w:hAnsiTheme="minorHAnsi" w:cstheme="minorHAnsi"/>
          <w:sz w:val="22"/>
          <w:szCs w:val="22"/>
        </w:rPr>
      </w:pPr>
      <w:r w:rsidRPr="00140A7F">
        <w:rPr>
          <w:rFonts w:asciiTheme="minorHAnsi" w:hAnsiTheme="minorHAnsi" w:cstheme="minorHAnsi"/>
          <w:sz w:val="22"/>
          <w:szCs w:val="22"/>
        </w:rPr>
        <w:t>Delade AI-metoder för sensorfusion som kan appliceras både på hjärt- och hjärnmonitorering.</w:t>
      </w:r>
    </w:p>
    <w:p w14:paraId="167B2558" w14:textId="63A60734" w:rsidR="006D6F53" w:rsidRPr="00140A7F" w:rsidRDefault="001D7A2B" w:rsidP="00140A7F">
      <w:pPr>
        <w:pStyle w:val="Listeavsnitt"/>
        <w:numPr>
          <w:ilvl w:val="0"/>
          <w:numId w:val="4"/>
        </w:numPr>
        <w:rPr>
          <w:rFonts w:asciiTheme="minorHAnsi" w:hAnsiTheme="minorHAnsi" w:cstheme="minorHAnsi"/>
          <w:sz w:val="22"/>
          <w:szCs w:val="22"/>
        </w:rPr>
      </w:pPr>
      <w:r w:rsidRPr="00140A7F">
        <w:rPr>
          <w:rFonts w:asciiTheme="minorHAnsi" w:hAnsiTheme="minorHAnsi" w:cstheme="minorHAnsi"/>
          <w:sz w:val="22"/>
          <w:szCs w:val="22"/>
        </w:rPr>
        <w:t>Publikationer och vetenskapliga konferensbidrag som stärker regionens forskningsprofil.</w:t>
      </w:r>
    </w:p>
    <w:p w14:paraId="0D546109" w14:textId="0EA8E687" w:rsidR="006D6F53" w:rsidRPr="00140A7F" w:rsidRDefault="001D7A2B">
      <w:pPr>
        <w:rPr>
          <w:rFonts w:asciiTheme="minorHAnsi" w:hAnsiTheme="minorHAnsi" w:cstheme="minorHAnsi"/>
          <w:sz w:val="22"/>
          <w:szCs w:val="22"/>
          <w:u w:val="single"/>
        </w:rPr>
      </w:pPr>
      <w:r w:rsidRPr="00140A7F">
        <w:rPr>
          <w:rFonts w:asciiTheme="minorHAnsi" w:hAnsiTheme="minorHAnsi" w:cstheme="minorHAnsi"/>
          <w:sz w:val="22"/>
          <w:szCs w:val="22"/>
          <w:u w:val="single"/>
        </w:rPr>
        <w:t>Kliniske resultater</w:t>
      </w:r>
      <w:r w:rsidR="00140A7F">
        <w:rPr>
          <w:rFonts w:asciiTheme="minorHAnsi" w:hAnsiTheme="minorHAnsi" w:cstheme="minorHAnsi"/>
          <w:sz w:val="22"/>
          <w:szCs w:val="22"/>
          <w:u w:val="single"/>
        </w:rPr>
        <w:t>:</w:t>
      </w:r>
    </w:p>
    <w:p w14:paraId="47022F3B" w14:textId="77777777" w:rsidR="00140A7F" w:rsidRDefault="001D7A2B" w:rsidP="00140A7F">
      <w:pPr>
        <w:pStyle w:val="Listeavsnitt"/>
        <w:numPr>
          <w:ilvl w:val="0"/>
          <w:numId w:val="5"/>
        </w:numPr>
        <w:rPr>
          <w:rFonts w:asciiTheme="minorHAnsi" w:hAnsiTheme="minorHAnsi" w:cstheme="minorHAnsi"/>
          <w:sz w:val="22"/>
          <w:szCs w:val="22"/>
        </w:rPr>
      </w:pPr>
      <w:r w:rsidRPr="00140A7F">
        <w:rPr>
          <w:rFonts w:asciiTheme="minorHAnsi" w:hAnsiTheme="minorHAnsi" w:cstheme="minorHAnsi"/>
          <w:sz w:val="22"/>
          <w:szCs w:val="22"/>
        </w:rPr>
        <w:t>Innsamling av annoterte datasett fra hjertestans, traume, perioperative og intensivpasienter i Norge.</w:t>
      </w:r>
    </w:p>
    <w:p w14:paraId="7325124A" w14:textId="77777777" w:rsidR="00140A7F" w:rsidRDefault="001D7A2B" w:rsidP="00140A7F">
      <w:pPr>
        <w:pStyle w:val="Listeavsnitt"/>
        <w:numPr>
          <w:ilvl w:val="0"/>
          <w:numId w:val="5"/>
        </w:numPr>
        <w:rPr>
          <w:rFonts w:asciiTheme="minorHAnsi" w:hAnsiTheme="minorHAnsi" w:cstheme="minorHAnsi"/>
          <w:sz w:val="22"/>
          <w:szCs w:val="22"/>
        </w:rPr>
      </w:pPr>
      <w:r w:rsidRPr="00140A7F">
        <w:rPr>
          <w:rFonts w:asciiTheme="minorHAnsi" w:hAnsiTheme="minorHAnsi" w:cstheme="minorHAnsi"/>
          <w:sz w:val="22"/>
          <w:szCs w:val="22"/>
        </w:rPr>
        <w:t>Utvidelse av Oxycate-systemet med EEG, testet i realistiske kliniske settinger.</w:t>
      </w:r>
    </w:p>
    <w:p w14:paraId="01A72CD3" w14:textId="77777777" w:rsidR="00140A7F" w:rsidRDefault="001D7A2B" w:rsidP="00140A7F">
      <w:pPr>
        <w:pStyle w:val="Listeavsnitt"/>
        <w:numPr>
          <w:ilvl w:val="0"/>
          <w:numId w:val="5"/>
        </w:numPr>
        <w:rPr>
          <w:rFonts w:asciiTheme="minorHAnsi" w:hAnsiTheme="minorHAnsi" w:cstheme="minorHAnsi"/>
          <w:sz w:val="22"/>
          <w:szCs w:val="22"/>
        </w:rPr>
      </w:pPr>
      <w:r w:rsidRPr="00140A7F">
        <w:rPr>
          <w:rFonts w:asciiTheme="minorHAnsi" w:hAnsiTheme="minorHAnsi" w:cstheme="minorHAnsi"/>
          <w:sz w:val="22"/>
          <w:szCs w:val="22"/>
        </w:rPr>
        <w:t>Dokumentert forbedring i beslutningsstøtte under akuttbehandling sammenlignet med dagens praksis.</w:t>
      </w:r>
    </w:p>
    <w:p w14:paraId="40F753A1" w14:textId="6D4816FF" w:rsidR="006D6F53" w:rsidRPr="00140A7F" w:rsidRDefault="001D7A2B" w:rsidP="00140A7F">
      <w:pPr>
        <w:pStyle w:val="Listeavsnitt"/>
        <w:numPr>
          <w:ilvl w:val="0"/>
          <w:numId w:val="5"/>
        </w:numPr>
        <w:rPr>
          <w:rFonts w:asciiTheme="minorHAnsi" w:hAnsiTheme="minorHAnsi" w:cstheme="minorHAnsi"/>
          <w:sz w:val="22"/>
          <w:szCs w:val="22"/>
        </w:rPr>
      </w:pPr>
      <w:r w:rsidRPr="00140A7F">
        <w:rPr>
          <w:rFonts w:asciiTheme="minorHAnsi" w:hAnsiTheme="minorHAnsi" w:cstheme="minorHAnsi"/>
          <w:sz w:val="22"/>
          <w:szCs w:val="22"/>
        </w:rPr>
        <w:t>Første evidens for at multimodal monitorering kan gi bedre prognosevurdering i kritiske situasjoner.</w:t>
      </w:r>
    </w:p>
    <w:p w14:paraId="6B502CB7" w14:textId="056F5B9E" w:rsidR="006D6F53" w:rsidRPr="00140A7F" w:rsidRDefault="001D7A2B">
      <w:pPr>
        <w:rPr>
          <w:rFonts w:asciiTheme="minorHAnsi" w:hAnsiTheme="minorHAnsi" w:cstheme="minorHAnsi"/>
          <w:sz w:val="22"/>
          <w:szCs w:val="22"/>
          <w:u w:val="single"/>
        </w:rPr>
      </w:pPr>
      <w:r w:rsidRPr="00140A7F">
        <w:rPr>
          <w:rFonts w:asciiTheme="minorHAnsi" w:hAnsiTheme="minorHAnsi" w:cstheme="minorHAnsi"/>
          <w:sz w:val="22"/>
          <w:szCs w:val="22"/>
          <w:u w:val="single"/>
        </w:rPr>
        <w:t>Industriella och innovationsrelaterade resultat</w:t>
      </w:r>
      <w:r w:rsidR="00140A7F">
        <w:rPr>
          <w:rFonts w:asciiTheme="minorHAnsi" w:hAnsiTheme="minorHAnsi" w:cstheme="minorHAnsi"/>
          <w:sz w:val="22"/>
          <w:szCs w:val="22"/>
          <w:u w:val="single"/>
        </w:rPr>
        <w:t>:</w:t>
      </w:r>
    </w:p>
    <w:p w14:paraId="6C432A84" w14:textId="77777777" w:rsidR="00140A7F" w:rsidRDefault="001D7A2B" w:rsidP="00140A7F">
      <w:pPr>
        <w:pStyle w:val="Listeavsnitt"/>
        <w:numPr>
          <w:ilvl w:val="0"/>
          <w:numId w:val="6"/>
        </w:numPr>
        <w:rPr>
          <w:rFonts w:asciiTheme="minorHAnsi" w:hAnsiTheme="minorHAnsi" w:cstheme="minorHAnsi"/>
          <w:sz w:val="22"/>
          <w:szCs w:val="22"/>
        </w:rPr>
      </w:pPr>
      <w:r w:rsidRPr="00140A7F">
        <w:rPr>
          <w:rFonts w:asciiTheme="minorHAnsi" w:hAnsiTheme="minorHAnsi" w:cstheme="minorHAnsi"/>
          <w:sz w:val="22"/>
          <w:szCs w:val="22"/>
        </w:rPr>
        <w:t>Prototyper redo för vidareutveckling mot kommersialisering av Coala Solutions och CATE Medical Devices.</w:t>
      </w:r>
    </w:p>
    <w:p w14:paraId="17B4AFC3" w14:textId="77777777" w:rsidR="00140A7F" w:rsidRDefault="001D7A2B" w:rsidP="00140A7F">
      <w:pPr>
        <w:pStyle w:val="Listeavsnitt"/>
        <w:numPr>
          <w:ilvl w:val="0"/>
          <w:numId w:val="6"/>
        </w:numPr>
        <w:rPr>
          <w:rFonts w:asciiTheme="minorHAnsi" w:hAnsiTheme="minorHAnsi" w:cstheme="minorHAnsi"/>
          <w:sz w:val="22"/>
          <w:szCs w:val="22"/>
        </w:rPr>
      </w:pPr>
      <w:r w:rsidRPr="00140A7F">
        <w:rPr>
          <w:rFonts w:asciiTheme="minorHAnsi" w:hAnsiTheme="minorHAnsi" w:cstheme="minorHAnsi"/>
          <w:sz w:val="22"/>
          <w:szCs w:val="22"/>
        </w:rPr>
        <w:t>Stärkt innovationsförmåga hos små och medelstora företag i regionen.</w:t>
      </w:r>
    </w:p>
    <w:p w14:paraId="6658E0E0" w14:textId="537A58FC" w:rsidR="006D6F53" w:rsidRPr="00140A7F" w:rsidRDefault="001D7A2B" w:rsidP="00140A7F">
      <w:pPr>
        <w:pStyle w:val="Listeavsnitt"/>
        <w:numPr>
          <w:ilvl w:val="0"/>
          <w:numId w:val="6"/>
        </w:numPr>
        <w:rPr>
          <w:rFonts w:asciiTheme="minorHAnsi" w:hAnsiTheme="minorHAnsi" w:cstheme="minorHAnsi"/>
          <w:sz w:val="22"/>
          <w:szCs w:val="22"/>
        </w:rPr>
      </w:pPr>
      <w:r w:rsidRPr="00140A7F">
        <w:rPr>
          <w:rFonts w:asciiTheme="minorHAnsi" w:hAnsiTheme="minorHAnsi" w:cstheme="minorHAnsi"/>
          <w:sz w:val="22"/>
          <w:szCs w:val="22"/>
        </w:rPr>
        <w:t>Etablering av nya värdekedjor inom medicinteknik, där regionala aktörer får tillgång till nya marknader.</w:t>
      </w:r>
    </w:p>
    <w:p w14:paraId="7AB7E403" w14:textId="09C79B1E" w:rsidR="006D6F53" w:rsidRPr="00140A7F" w:rsidRDefault="001D7A2B">
      <w:pPr>
        <w:rPr>
          <w:rFonts w:asciiTheme="minorHAnsi" w:hAnsiTheme="minorHAnsi" w:cstheme="minorHAnsi"/>
          <w:sz w:val="22"/>
          <w:szCs w:val="22"/>
          <w:u w:val="single"/>
        </w:rPr>
      </w:pPr>
      <w:r w:rsidRPr="00140A7F">
        <w:rPr>
          <w:rFonts w:asciiTheme="minorHAnsi" w:hAnsiTheme="minorHAnsi" w:cstheme="minorHAnsi"/>
          <w:sz w:val="22"/>
          <w:szCs w:val="22"/>
          <w:u w:val="single"/>
        </w:rPr>
        <w:t>Samfunnsmessige og helserelaterte resultater</w:t>
      </w:r>
      <w:r w:rsidR="00140A7F">
        <w:rPr>
          <w:rFonts w:asciiTheme="minorHAnsi" w:hAnsiTheme="minorHAnsi" w:cstheme="minorHAnsi"/>
          <w:sz w:val="22"/>
          <w:szCs w:val="22"/>
          <w:u w:val="single"/>
        </w:rPr>
        <w:t>:</w:t>
      </w:r>
    </w:p>
    <w:p w14:paraId="25BEF2FE" w14:textId="77777777" w:rsidR="00140A7F" w:rsidRDefault="001D7A2B" w:rsidP="00140A7F">
      <w:pPr>
        <w:pStyle w:val="Listeavsnitt"/>
        <w:numPr>
          <w:ilvl w:val="0"/>
          <w:numId w:val="7"/>
        </w:numPr>
        <w:rPr>
          <w:rFonts w:asciiTheme="minorHAnsi" w:hAnsiTheme="minorHAnsi" w:cstheme="minorHAnsi"/>
          <w:sz w:val="22"/>
          <w:szCs w:val="22"/>
        </w:rPr>
      </w:pPr>
      <w:r w:rsidRPr="00140A7F">
        <w:rPr>
          <w:rFonts w:asciiTheme="minorHAnsi" w:hAnsiTheme="minorHAnsi" w:cstheme="minorHAnsi"/>
          <w:sz w:val="22"/>
          <w:szCs w:val="22"/>
        </w:rPr>
        <w:t>Bedre diagnostisk pålitelighet og raskere beslutningsstøtte i akutt- og intensivmedisin.</w:t>
      </w:r>
    </w:p>
    <w:p w14:paraId="262D5823" w14:textId="77777777" w:rsidR="00140A7F" w:rsidRDefault="001D7A2B" w:rsidP="00140A7F">
      <w:pPr>
        <w:pStyle w:val="Listeavsnitt"/>
        <w:numPr>
          <w:ilvl w:val="0"/>
          <w:numId w:val="7"/>
        </w:numPr>
        <w:rPr>
          <w:rFonts w:asciiTheme="minorHAnsi" w:hAnsiTheme="minorHAnsi" w:cstheme="minorHAnsi"/>
          <w:sz w:val="22"/>
          <w:szCs w:val="22"/>
        </w:rPr>
      </w:pPr>
      <w:r w:rsidRPr="00140A7F">
        <w:rPr>
          <w:rFonts w:asciiTheme="minorHAnsi" w:hAnsiTheme="minorHAnsi" w:cstheme="minorHAnsi"/>
          <w:sz w:val="22"/>
          <w:szCs w:val="22"/>
        </w:rPr>
        <w:lastRenderedPageBreak/>
        <w:t>Økt overlevelse og redusert risiko for varige nevrologiske skader.</w:t>
      </w:r>
    </w:p>
    <w:p w14:paraId="4A858EF1" w14:textId="77777777" w:rsidR="00140A7F" w:rsidRDefault="001D7A2B" w:rsidP="00140A7F">
      <w:pPr>
        <w:pStyle w:val="Listeavsnitt"/>
        <w:numPr>
          <w:ilvl w:val="0"/>
          <w:numId w:val="7"/>
        </w:numPr>
        <w:rPr>
          <w:rFonts w:asciiTheme="minorHAnsi" w:hAnsiTheme="minorHAnsi" w:cstheme="minorHAnsi"/>
          <w:sz w:val="22"/>
          <w:szCs w:val="22"/>
        </w:rPr>
      </w:pPr>
      <w:r w:rsidRPr="00140A7F">
        <w:rPr>
          <w:rFonts w:asciiTheme="minorHAnsi" w:hAnsiTheme="minorHAnsi" w:cstheme="minorHAnsi"/>
          <w:sz w:val="22"/>
          <w:szCs w:val="22"/>
        </w:rPr>
        <w:t>Redusert ulikhet i helsetjenester ved at teknologien kan brukes også i distrikter.</w:t>
      </w:r>
    </w:p>
    <w:p w14:paraId="6DC4187F" w14:textId="0CE50F38" w:rsidR="006D6F53" w:rsidRPr="00140A7F" w:rsidRDefault="001D7A2B" w:rsidP="00140A7F">
      <w:pPr>
        <w:pStyle w:val="Listeavsnitt"/>
        <w:numPr>
          <w:ilvl w:val="0"/>
          <w:numId w:val="7"/>
        </w:numPr>
        <w:rPr>
          <w:rFonts w:asciiTheme="minorHAnsi" w:hAnsiTheme="minorHAnsi" w:cstheme="minorHAnsi"/>
          <w:sz w:val="22"/>
          <w:szCs w:val="22"/>
        </w:rPr>
      </w:pPr>
      <w:r w:rsidRPr="00140A7F">
        <w:rPr>
          <w:rFonts w:asciiTheme="minorHAnsi" w:hAnsiTheme="minorHAnsi" w:cstheme="minorHAnsi"/>
          <w:sz w:val="22"/>
          <w:szCs w:val="22"/>
        </w:rPr>
        <w:t>Helsemyndigheter og politikere får dokumentasjon for å fremme investeringer i bærekraftig helseteknologi.</w:t>
      </w:r>
    </w:p>
    <w:p w14:paraId="16ECB70D" w14:textId="00C984DA" w:rsidR="006D6F53" w:rsidRPr="00140A7F" w:rsidRDefault="001D7A2B">
      <w:pPr>
        <w:rPr>
          <w:rFonts w:asciiTheme="minorHAnsi" w:hAnsiTheme="minorHAnsi" w:cstheme="minorHAnsi"/>
          <w:sz w:val="22"/>
          <w:szCs w:val="22"/>
          <w:u w:val="single"/>
        </w:rPr>
      </w:pPr>
      <w:r w:rsidRPr="00140A7F">
        <w:rPr>
          <w:rFonts w:asciiTheme="minorHAnsi" w:hAnsiTheme="minorHAnsi" w:cstheme="minorHAnsi"/>
          <w:sz w:val="22"/>
          <w:szCs w:val="22"/>
          <w:u w:val="single"/>
        </w:rPr>
        <w:t>Gemensamma resultat</w:t>
      </w:r>
      <w:r w:rsidR="00140A7F">
        <w:rPr>
          <w:rFonts w:asciiTheme="minorHAnsi" w:hAnsiTheme="minorHAnsi" w:cstheme="minorHAnsi"/>
          <w:sz w:val="22"/>
          <w:szCs w:val="22"/>
          <w:u w:val="single"/>
        </w:rPr>
        <w:t>:</w:t>
      </w:r>
    </w:p>
    <w:p w14:paraId="7286AD08" w14:textId="77777777" w:rsidR="00140A7F" w:rsidRDefault="001D7A2B" w:rsidP="00140A7F">
      <w:pPr>
        <w:pStyle w:val="Listeavsnitt"/>
        <w:numPr>
          <w:ilvl w:val="0"/>
          <w:numId w:val="8"/>
        </w:numPr>
        <w:rPr>
          <w:rFonts w:asciiTheme="minorHAnsi" w:hAnsiTheme="minorHAnsi" w:cstheme="minorHAnsi"/>
          <w:sz w:val="22"/>
          <w:szCs w:val="22"/>
        </w:rPr>
      </w:pPr>
      <w:r w:rsidRPr="00140A7F">
        <w:rPr>
          <w:rFonts w:asciiTheme="minorHAnsi" w:hAnsiTheme="minorHAnsi" w:cstheme="minorHAnsi"/>
          <w:sz w:val="22"/>
          <w:szCs w:val="22"/>
        </w:rPr>
        <w:t>Etablering av ett gränsöverskridande innovationsnätverk mellan universitet, industri och vårdgivare.</w:t>
      </w:r>
    </w:p>
    <w:p w14:paraId="0250048C" w14:textId="77777777" w:rsidR="00140A7F" w:rsidRDefault="001D7A2B" w:rsidP="00140A7F">
      <w:pPr>
        <w:pStyle w:val="Listeavsnitt"/>
        <w:numPr>
          <w:ilvl w:val="0"/>
          <w:numId w:val="8"/>
        </w:numPr>
        <w:rPr>
          <w:rFonts w:asciiTheme="minorHAnsi" w:hAnsiTheme="minorHAnsi" w:cstheme="minorHAnsi"/>
          <w:sz w:val="22"/>
          <w:szCs w:val="22"/>
        </w:rPr>
      </w:pPr>
      <w:r w:rsidRPr="00140A7F">
        <w:rPr>
          <w:rFonts w:asciiTheme="minorHAnsi" w:hAnsiTheme="minorHAnsi" w:cstheme="minorHAnsi"/>
          <w:sz w:val="22"/>
          <w:szCs w:val="22"/>
        </w:rPr>
        <w:t>Kliniska dataset, AI-modeller och prototyper som blir tillgängliga för fortsatt forskning och utveckling.</w:t>
      </w:r>
    </w:p>
    <w:p w14:paraId="2B2AB1DC" w14:textId="77777777" w:rsidR="00140A7F" w:rsidRDefault="001D7A2B" w:rsidP="00140A7F">
      <w:pPr>
        <w:pStyle w:val="Listeavsnitt"/>
        <w:numPr>
          <w:ilvl w:val="0"/>
          <w:numId w:val="8"/>
        </w:numPr>
        <w:rPr>
          <w:rFonts w:asciiTheme="minorHAnsi" w:hAnsiTheme="minorHAnsi" w:cstheme="minorHAnsi"/>
          <w:sz w:val="22"/>
          <w:szCs w:val="22"/>
        </w:rPr>
      </w:pPr>
      <w:r w:rsidRPr="00140A7F">
        <w:rPr>
          <w:rFonts w:asciiTheme="minorHAnsi" w:hAnsiTheme="minorHAnsi" w:cstheme="minorHAnsi"/>
          <w:sz w:val="22"/>
          <w:szCs w:val="22"/>
        </w:rPr>
        <w:t>Resultaten används av vården för bättre beslut, av industrin för kommersialisering och av forskare för nya projekt.</w:t>
      </w:r>
    </w:p>
    <w:p w14:paraId="44C4552C" w14:textId="0703784C" w:rsidR="006D6F53" w:rsidRPr="00140A7F" w:rsidRDefault="001D7A2B" w:rsidP="00140A7F">
      <w:pPr>
        <w:pStyle w:val="Listeavsnitt"/>
        <w:numPr>
          <w:ilvl w:val="0"/>
          <w:numId w:val="8"/>
        </w:numPr>
        <w:rPr>
          <w:rFonts w:asciiTheme="minorHAnsi" w:hAnsiTheme="minorHAnsi" w:cstheme="minorHAnsi"/>
          <w:sz w:val="22"/>
          <w:szCs w:val="22"/>
        </w:rPr>
      </w:pPr>
      <w:r w:rsidRPr="00140A7F">
        <w:rPr>
          <w:rFonts w:asciiTheme="minorHAnsi" w:hAnsiTheme="minorHAnsi" w:cstheme="minorHAnsi"/>
          <w:sz w:val="22"/>
          <w:szCs w:val="22"/>
        </w:rPr>
        <w:t>På kort sikt levererar projektet verifierade tekniska och kliniska lösningar; på längre sikt stärks både patientutfall och regional innovationskraft.</w:t>
      </w:r>
    </w:p>
    <w:p w14:paraId="3B045885" w14:textId="77777777" w:rsidR="00C32E5B" w:rsidRPr="00D14C6F" w:rsidRDefault="001D7A2B" w:rsidP="00972D9F">
      <w:pPr>
        <w:pStyle w:val="Overskrift3"/>
        <w:rPr>
          <w:rFonts w:asciiTheme="minorHAnsi" w:hAnsiTheme="minorHAnsi" w:cstheme="minorHAnsi"/>
          <w:sz w:val="22"/>
          <w:szCs w:val="22"/>
        </w:rPr>
      </w:pPr>
      <w:r w:rsidRPr="00D14C6F">
        <w:rPr>
          <w:rFonts w:asciiTheme="minorHAnsi" w:hAnsiTheme="minorHAnsi" w:cstheme="minorHAnsi"/>
          <w:sz w:val="22"/>
          <w:szCs w:val="22"/>
        </w:rPr>
        <w:t xml:space="preserve">Bestående resultat </w:t>
      </w:r>
    </w:p>
    <w:p w14:paraId="3D32911A" w14:textId="77777777" w:rsidR="00140A7F" w:rsidRDefault="00140A7F" w:rsidP="00972D9F">
      <w:pPr>
        <w:rPr>
          <w:rFonts w:asciiTheme="minorHAnsi" w:hAnsiTheme="minorHAnsi" w:cstheme="minorHAnsi"/>
          <w:sz w:val="22"/>
          <w:szCs w:val="22"/>
        </w:rPr>
      </w:pPr>
    </w:p>
    <w:p w14:paraId="04B3CB3C" w14:textId="78793C4B" w:rsidR="006D6F53" w:rsidRDefault="001D7A2B">
      <w:pPr>
        <w:rPr>
          <w:rFonts w:asciiTheme="minorHAnsi" w:hAnsiTheme="minorHAnsi" w:cstheme="minorHAnsi"/>
          <w:sz w:val="22"/>
          <w:szCs w:val="22"/>
        </w:rPr>
      </w:pPr>
      <w:r>
        <w:rPr>
          <w:rFonts w:asciiTheme="minorHAnsi" w:hAnsiTheme="minorHAnsi" w:cstheme="minorHAnsi"/>
          <w:sz w:val="22"/>
          <w:szCs w:val="22"/>
        </w:rPr>
        <w:t>För Mittuniversitetet och Coala Solutions innebär projektet att validerade AI-modeller och prototyper kan föras vidare in i en etablerad produktplattform. Detta skapar förutsättningar för kommersialisering inom primärvård och patientnära användning. Samtidigt kommer de vetenskapliga resultaten dataset, algoritmer och publikationer att nyttjas i fortsatt forskning och doktorandutbildning, vilket stärker regionens akademiska kapacitet.</w:t>
      </w:r>
    </w:p>
    <w:p w14:paraId="7D9E3A4F" w14:textId="77777777" w:rsidR="00140A7F" w:rsidRDefault="00140A7F">
      <w:pPr>
        <w:rPr>
          <w:rFonts w:asciiTheme="minorHAnsi" w:hAnsiTheme="minorHAnsi" w:cstheme="minorHAnsi"/>
          <w:sz w:val="22"/>
          <w:szCs w:val="22"/>
        </w:rPr>
      </w:pPr>
    </w:p>
    <w:p w14:paraId="00888123" w14:textId="13465EC6"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For NTNU og CATE Medical Devices betyr prosjektet at Oxycate-systemet kan utvikles videre mot industrialisering og reguleringsgodkjenning. De kliniske datasettene og valideringene fra St. Olavs hospital vil bli brukt til å forbedre algoritmer og sikre medisinsk dokumentasjon som trengs for </w:t>
      </w:r>
      <w:r w:rsidR="00DC27C1">
        <w:rPr>
          <w:rFonts w:asciiTheme="minorHAnsi" w:hAnsiTheme="minorHAnsi" w:cstheme="minorHAnsi"/>
          <w:sz w:val="22"/>
          <w:szCs w:val="22"/>
        </w:rPr>
        <w:t>kommersiellt bruk</w:t>
      </w:r>
      <w:r>
        <w:rPr>
          <w:rFonts w:asciiTheme="minorHAnsi" w:hAnsiTheme="minorHAnsi" w:cstheme="minorHAnsi"/>
          <w:sz w:val="22"/>
          <w:szCs w:val="22"/>
        </w:rPr>
        <w:t>. HUM-gruppen vil også videreføre forskningen i nye prosjekter og samarbeidskonstellasjoner.</w:t>
      </w:r>
    </w:p>
    <w:p w14:paraId="59ADC72F" w14:textId="77777777" w:rsidR="00140A7F" w:rsidRDefault="00140A7F">
      <w:pPr>
        <w:rPr>
          <w:rFonts w:asciiTheme="minorHAnsi" w:hAnsiTheme="minorHAnsi" w:cstheme="minorHAnsi"/>
          <w:sz w:val="22"/>
          <w:szCs w:val="22"/>
        </w:rPr>
      </w:pPr>
    </w:p>
    <w:p w14:paraId="0FCEC202" w14:textId="77676920"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En central mekanism är etableringen av ett gränsöverskridande innovationsnätverk som fortsätter även efter projektet. Nätverket samlar universitet, vårdgivare och industripartner, och fungerar som plattform för nya ansökningar, kliniska piloter och gemensam kunskapsutveckling. </w:t>
      </w:r>
    </w:p>
    <w:p w14:paraId="13F711AC" w14:textId="77777777" w:rsidR="00140A7F" w:rsidRDefault="00140A7F">
      <w:pPr>
        <w:rPr>
          <w:rFonts w:asciiTheme="minorHAnsi" w:hAnsiTheme="minorHAnsi" w:cstheme="minorHAnsi"/>
          <w:sz w:val="22"/>
          <w:szCs w:val="22"/>
        </w:rPr>
      </w:pPr>
    </w:p>
    <w:p w14:paraId="09F5733D" w14:textId="7DB35C42" w:rsidR="006D6F53" w:rsidRDefault="001D7A2B">
      <w:pPr>
        <w:rPr>
          <w:rFonts w:asciiTheme="minorHAnsi" w:hAnsiTheme="minorHAnsi" w:cstheme="minorHAnsi"/>
          <w:sz w:val="22"/>
          <w:szCs w:val="22"/>
        </w:rPr>
      </w:pPr>
      <w:r>
        <w:rPr>
          <w:rFonts w:asciiTheme="minorHAnsi" w:hAnsiTheme="minorHAnsi" w:cstheme="minorHAnsi"/>
          <w:sz w:val="22"/>
          <w:szCs w:val="22"/>
        </w:rPr>
        <w:t>Det gjensidige læringssporet er også en del av prosjektets arv. AI-metoder som er</w:t>
      </w:r>
      <w:r w:rsidR="00DC27C1">
        <w:rPr>
          <w:rFonts w:asciiTheme="minorHAnsi" w:hAnsiTheme="minorHAnsi" w:cstheme="minorHAnsi"/>
          <w:sz w:val="22"/>
          <w:szCs w:val="22"/>
        </w:rPr>
        <w:t xml:space="preserve"> </w:t>
      </w:r>
      <w:r>
        <w:rPr>
          <w:rFonts w:asciiTheme="minorHAnsi" w:hAnsiTheme="minorHAnsi" w:cstheme="minorHAnsi"/>
          <w:sz w:val="22"/>
          <w:szCs w:val="22"/>
        </w:rPr>
        <w:t>utviklet i Sverige vil kunne tilpasses og brukes i norske applikasjoner, mens erfaringene fra EEG/NIRS i Norge gir innsikt som kan forbedre hjertediagnostikken i Sverige. Denne kunnskapsoverføringen gjør at resultatene ikke bare lever videre i hvert land, men også på tvers av grensene.</w:t>
      </w:r>
    </w:p>
    <w:p w14:paraId="75769153" w14:textId="77777777" w:rsidR="00140A7F" w:rsidRDefault="00140A7F">
      <w:pPr>
        <w:rPr>
          <w:rFonts w:asciiTheme="minorHAnsi" w:hAnsiTheme="minorHAnsi" w:cstheme="minorHAnsi"/>
          <w:sz w:val="22"/>
          <w:szCs w:val="22"/>
        </w:rPr>
      </w:pPr>
    </w:p>
    <w:p w14:paraId="2852A618" w14:textId="5538E7E9"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Sammanfattningsvis kommer resultaten att leva vidare genom tre spår: klinisk användning i vården, kommersialisering genom företagen, och fortsatt forskning och samarbete inom akademi och nätverk. </w:t>
      </w:r>
    </w:p>
    <w:p w14:paraId="05BAA806" w14:textId="77777777" w:rsidR="00EA5B76" w:rsidRPr="00C14338" w:rsidRDefault="001D7A2B" w:rsidP="00EA5B76">
      <w:pPr>
        <w:pStyle w:val="Overskrift2"/>
        <w:rPr>
          <w:rFonts w:asciiTheme="minorHAnsi" w:hAnsiTheme="minorHAnsi" w:cstheme="minorHAnsi"/>
          <w:sz w:val="28"/>
        </w:rPr>
      </w:pPr>
      <w:r w:rsidRPr="00C14338">
        <w:rPr>
          <w:rFonts w:asciiTheme="minorHAnsi" w:hAnsiTheme="minorHAnsi" w:cstheme="minorHAnsi"/>
          <w:sz w:val="28"/>
        </w:rPr>
        <w:t>Gränsöverskridande mervärde</w:t>
      </w:r>
    </w:p>
    <w:p w14:paraId="64CC99F9" w14:textId="4A065DAA" w:rsidR="00EA5B76" w:rsidRDefault="001D7A2B" w:rsidP="00EA5B76">
      <w:pPr>
        <w:rPr>
          <w:rFonts w:asciiTheme="minorHAnsi" w:hAnsiTheme="minorHAnsi" w:cstheme="minorHAnsi"/>
          <w:sz w:val="22"/>
          <w:szCs w:val="22"/>
        </w:rPr>
      </w:pPr>
      <w:r>
        <w:rPr>
          <w:rFonts w:asciiTheme="minorHAnsi" w:hAnsiTheme="minorHAnsi" w:cstheme="minorHAnsi"/>
          <w:sz w:val="22"/>
          <w:szCs w:val="22"/>
        </w:rPr>
        <w:t xml:space="preserve">Hjärt- och hjärnsjukdomar är stora hälsoutmaningar i både Sverige och Norge, med liknande demografiska trender och vårdbehov. Båda länderna möter en åldrande befolkning, ökad förekomst av kroniska sjukdomar och ett tryck på att leverera avancerad vård inom begränsade budgetramar. I glesbygdsområden är tillgången till specialistvård särskilt </w:t>
      </w:r>
      <w:r>
        <w:rPr>
          <w:rFonts w:asciiTheme="minorHAnsi" w:hAnsiTheme="minorHAnsi" w:cstheme="minorHAnsi"/>
          <w:sz w:val="22"/>
          <w:szCs w:val="22"/>
        </w:rPr>
        <w:lastRenderedPageBreak/>
        <w:t>begränsad, vilket gör behovet av bärbara och tillförlitliga diagnostikverktyg ännu större. Dessa utmaningar kan inte lösas av en enskild aktör eller ett enskilt land de kräver samarbete över gränserna.</w:t>
      </w:r>
    </w:p>
    <w:p w14:paraId="2A459304" w14:textId="77777777" w:rsidR="00140A7F" w:rsidRPr="00030864" w:rsidRDefault="00140A7F" w:rsidP="00EA5B76">
      <w:pPr>
        <w:rPr>
          <w:rFonts w:asciiTheme="minorHAnsi" w:hAnsiTheme="minorHAnsi" w:cstheme="minorHAnsi"/>
          <w:sz w:val="22"/>
          <w:szCs w:val="22"/>
        </w:rPr>
      </w:pPr>
    </w:p>
    <w:p w14:paraId="183BD8F6"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Mittuniversitetet bidrar med spetskompetens inom signalbehandling, AI och multimodal hjärtmonitorering i nära samarbete med Coala Solutions. Genom avancerade algoritmer för signalfusion och klassificering kan nya lösningar utvecklas som inte bara förbättrar diagnostikens träffsäkerhet utan också möjliggör kommersiell tillämpning i primärvården. Denna kompetens är unik i Sverige och kan inte ersättas av norska aktörer.</w:t>
      </w:r>
    </w:p>
    <w:p w14:paraId="27FAEF04" w14:textId="77777777" w:rsidR="00140A7F" w:rsidRDefault="00140A7F">
      <w:pPr>
        <w:rPr>
          <w:rFonts w:asciiTheme="minorHAnsi" w:hAnsiTheme="minorHAnsi" w:cstheme="minorHAnsi"/>
          <w:sz w:val="22"/>
          <w:szCs w:val="22"/>
        </w:rPr>
      </w:pPr>
    </w:p>
    <w:p w14:paraId="4AFF1BF3"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NTNU på sin side tilfører klinisk forskningskompetanse, tilgang til pasientkohorter og erfaring med hjernemonitorering i akuttmedisin. Sammen med CATE Medical Devices utvikler de Oxycate-systemet, et bærbart cerebral oksimeter. Ved å integrere EEG med NIRS kan NTNU teste og validere prototyper i realistiske kliniske miljøer, noe som gir resultater som ikke kan oppnås i laboratorier alene. Denne typen tilgang og erfaring finnes ikke hos de svenske partnerne.</w:t>
      </w:r>
    </w:p>
    <w:p w14:paraId="63C7F0F6" w14:textId="77777777" w:rsidR="00140A7F" w:rsidRDefault="00140A7F">
      <w:pPr>
        <w:rPr>
          <w:rFonts w:asciiTheme="minorHAnsi" w:hAnsiTheme="minorHAnsi" w:cstheme="minorHAnsi"/>
          <w:sz w:val="22"/>
          <w:szCs w:val="22"/>
        </w:rPr>
      </w:pPr>
    </w:p>
    <w:p w14:paraId="37E0172A"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En særlig styrka i samarbeidet är att det inte enbart handlar om parallell utveckling, utan också om aktivt kunskapsutbyte. AI-metoder som utvecklas för hjärtmonitorering testas även på hjärndata, medan NTNU:s strategier för artefakthantering i EEG/NIRS används på hjärtsignaler. Dette gjensidige læringsløpet gir sterkere, mer robuste løsninger og reduserer dobbeltarbeid.</w:t>
      </w:r>
    </w:p>
    <w:p w14:paraId="2AE57097"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Samarbetet gör det också möjligt att samla data från olika kliniska miljöer i två länder. AI-modeller kräver stora och varierade dataset för att bli tillförlitliga. Ingen enskild region kan leverera tillräcklig datamångfald, men genom att kombinera svenska och norska data får projektet en unik bas som ger starkare och mer generaliserbara resultat.</w:t>
      </w:r>
    </w:p>
    <w:p w14:paraId="6525A3A2" w14:textId="77777777" w:rsidR="00140A7F" w:rsidRDefault="00140A7F">
      <w:pPr>
        <w:rPr>
          <w:rFonts w:asciiTheme="minorHAnsi" w:hAnsiTheme="minorHAnsi" w:cstheme="minorHAnsi"/>
          <w:sz w:val="22"/>
          <w:szCs w:val="22"/>
        </w:rPr>
      </w:pPr>
    </w:p>
    <w:p w14:paraId="3F1D0B86"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Til slutt bidrar prosjektet til å bygge et varig innovasjonsnettverk på tvers av grensen. Ved å koble sammen universiteter, helseaktører og små og mellomstore bedrifter skapes et økosystem som kan videreføre resultater, drive nye prosjekter og støtte kommersialisering. Dette er en merverdi som nasjonale program alene ikke kan tilby, men som InterReg-samarbeidet gjør mulig.</w:t>
      </w:r>
    </w:p>
    <w:p w14:paraId="584FF622" w14:textId="77777777" w:rsidR="00C32E5B" w:rsidRPr="00C14338" w:rsidRDefault="001D7A2B" w:rsidP="00C32E5B">
      <w:pPr>
        <w:pStyle w:val="Overskrift2"/>
        <w:rPr>
          <w:rFonts w:asciiTheme="minorHAnsi" w:hAnsiTheme="minorHAnsi" w:cstheme="minorHAnsi"/>
          <w:sz w:val="28"/>
        </w:rPr>
      </w:pPr>
      <w:r w:rsidRPr="00C14338">
        <w:rPr>
          <w:rFonts w:asciiTheme="minorHAnsi" w:hAnsiTheme="minorHAnsi" w:cstheme="minorHAnsi"/>
          <w:sz w:val="28"/>
        </w:rPr>
        <w:t>Organisation</w:t>
      </w:r>
    </w:p>
    <w:p w14:paraId="0EA26A1E" w14:textId="7ABC87FF" w:rsidR="003618A9" w:rsidRDefault="001D7A2B" w:rsidP="00B81E1F">
      <w:pPr>
        <w:rPr>
          <w:rFonts w:asciiTheme="minorHAnsi" w:hAnsiTheme="minorHAnsi" w:cstheme="minorHAnsi"/>
          <w:sz w:val="22"/>
          <w:szCs w:val="22"/>
        </w:rPr>
      </w:pPr>
      <w:r>
        <w:rPr>
          <w:rFonts w:asciiTheme="minorHAnsi" w:hAnsiTheme="minorHAnsi" w:cstheme="minorHAnsi"/>
          <w:sz w:val="22"/>
          <w:szCs w:val="22"/>
        </w:rPr>
        <w:t>Mittuniversitetet är projektägare</w:t>
      </w:r>
      <w:r w:rsidR="00840D10">
        <w:rPr>
          <w:rFonts w:asciiTheme="minorHAnsi" w:hAnsiTheme="minorHAnsi" w:cstheme="minorHAnsi"/>
          <w:sz w:val="22"/>
          <w:szCs w:val="22"/>
        </w:rPr>
        <w:t xml:space="preserve"> på svensk sida</w:t>
      </w:r>
      <w:r>
        <w:rPr>
          <w:rFonts w:asciiTheme="minorHAnsi" w:hAnsiTheme="minorHAnsi" w:cstheme="minorHAnsi"/>
          <w:sz w:val="22"/>
          <w:szCs w:val="22"/>
        </w:rPr>
        <w:t xml:space="preserve"> och ansvarar för den övergripande koordineringen, ekonomisk planering och rapportering till finansiären. Universitetet har lång erfarenhet av att leda komplexa forsknings- och innovationsprojekt med hög grad av samarbete mellan akademi, företag och samhällsaktörer. I projektet tillhandahåller Mittuniversitetet funktionerna projektledare, kommunikatör och ekonomiadministration.</w:t>
      </w:r>
    </w:p>
    <w:p w14:paraId="07CDCCBB" w14:textId="77777777" w:rsidR="006D6F53" w:rsidRDefault="006D6F53">
      <w:pPr>
        <w:rPr>
          <w:rFonts w:asciiTheme="minorHAnsi" w:hAnsiTheme="minorHAnsi" w:cstheme="minorHAnsi"/>
          <w:sz w:val="22"/>
          <w:szCs w:val="22"/>
        </w:rPr>
      </w:pPr>
    </w:p>
    <w:p w14:paraId="7D33CE83" w14:textId="77777777" w:rsidR="006D6F53" w:rsidRDefault="001D7A2B">
      <w:pPr>
        <w:rPr>
          <w:rFonts w:asciiTheme="minorHAnsi" w:hAnsiTheme="minorHAnsi" w:cstheme="minorHAnsi"/>
          <w:sz w:val="22"/>
          <w:szCs w:val="22"/>
        </w:rPr>
      </w:pPr>
      <w:r>
        <w:rPr>
          <w:rFonts w:asciiTheme="minorHAnsi" w:hAnsiTheme="minorHAnsi" w:cstheme="minorHAnsi"/>
          <w:sz w:val="22"/>
          <w:szCs w:val="22"/>
        </w:rPr>
        <w:t>NTNU er norsk prosjektleder og koordinerer arbeidet på norsk side av grensen. Universitetet har en sentral rolle i å organisere kliniske aktiviteter, sikre datasikkerhet og etiske prosesser, og følge opp at nasjonale ressurser benyttes i henhold til plan. Sammen etablerer Mittuniversitetet og NTNU en felles prosjektgruppe som består av forskere, tekniska utvecklare och representanter från industripartnerna Coala Solutions och CATE Medical Devices.</w:t>
      </w:r>
    </w:p>
    <w:p w14:paraId="47867AB7" w14:textId="77777777" w:rsidR="006D6F53" w:rsidRDefault="006D6F53">
      <w:pPr>
        <w:rPr>
          <w:rFonts w:asciiTheme="minorHAnsi" w:hAnsiTheme="minorHAnsi" w:cstheme="minorHAnsi"/>
          <w:sz w:val="22"/>
          <w:szCs w:val="22"/>
        </w:rPr>
      </w:pPr>
    </w:p>
    <w:p w14:paraId="69DDDBE8" w14:textId="2DBA3075" w:rsidR="006D6F53" w:rsidRDefault="001D7A2B">
      <w:pPr>
        <w:rPr>
          <w:rFonts w:asciiTheme="minorHAnsi" w:hAnsiTheme="minorHAnsi" w:cstheme="minorHAnsi"/>
          <w:sz w:val="22"/>
          <w:szCs w:val="22"/>
        </w:rPr>
      </w:pPr>
      <w:r>
        <w:rPr>
          <w:rFonts w:asciiTheme="minorHAnsi" w:hAnsiTheme="minorHAnsi" w:cstheme="minorHAnsi"/>
          <w:sz w:val="22"/>
          <w:szCs w:val="22"/>
        </w:rPr>
        <w:t xml:space="preserve">Varje arbetspaket är indelat i aktiviteter med tydligt ansvar och delmål. Partnerna har ett gemensamt ansvar för genomförandet, men varje aktivitet leds av den partner som har särskild kompetens inom området. </w:t>
      </w:r>
    </w:p>
    <w:p w14:paraId="7F4A30A3" w14:textId="77777777" w:rsidR="006D6F53" w:rsidRDefault="006D6F53">
      <w:pPr>
        <w:rPr>
          <w:rFonts w:asciiTheme="minorHAnsi" w:hAnsiTheme="minorHAnsi" w:cstheme="minorHAnsi"/>
          <w:sz w:val="22"/>
          <w:szCs w:val="22"/>
        </w:rPr>
      </w:pPr>
    </w:p>
    <w:p w14:paraId="4E4FCF61" w14:textId="6061D5B8" w:rsidR="004631C2" w:rsidRDefault="001D7A2B" w:rsidP="004631C2">
      <w:pPr>
        <w:rPr>
          <w:rFonts w:asciiTheme="minorHAnsi" w:hAnsiTheme="minorHAnsi" w:cstheme="minorHAnsi"/>
          <w:sz w:val="22"/>
          <w:szCs w:val="22"/>
        </w:rPr>
      </w:pPr>
      <w:r>
        <w:rPr>
          <w:rFonts w:asciiTheme="minorHAnsi" w:hAnsiTheme="minorHAnsi" w:cstheme="minorHAnsi"/>
          <w:sz w:val="22"/>
          <w:szCs w:val="22"/>
        </w:rPr>
        <w:t>En styrgrupp etableras med representanter från Mittuniversitetet, NTNU, Coala Solutions, CATE Medical Devices samt målgruppen hälso- och sjukvården. Styrgruppen möts regelbundet för att följa upp framsteg, hantera risker och fatta strategiska beslut. På dette vis sikres at prosjektet hele tiden arbeider i tråd med målgruppens behov og at resultatene er relevante for implementering i helsetjenesten.</w:t>
      </w:r>
      <w:r w:rsidR="004631C2" w:rsidRPr="004631C2">
        <w:rPr>
          <w:rFonts w:asciiTheme="minorHAnsi" w:hAnsiTheme="minorHAnsi" w:cstheme="minorHAnsi"/>
          <w:sz w:val="22"/>
          <w:szCs w:val="22"/>
        </w:rPr>
        <w:t xml:space="preserve"> </w:t>
      </w:r>
      <w:r w:rsidR="004631C2">
        <w:rPr>
          <w:rFonts w:asciiTheme="minorHAnsi" w:hAnsiTheme="minorHAnsi" w:cstheme="minorHAnsi"/>
          <w:sz w:val="22"/>
          <w:szCs w:val="22"/>
        </w:rPr>
        <w:t xml:space="preserve">Denna organisation är vald för att kombinera stark akademisk kompetens (Miun och NTNU), industriell innovationsförmåga (Coala och CATE) och nära förankring i vården. </w:t>
      </w:r>
    </w:p>
    <w:p w14:paraId="0E704E27" w14:textId="77777777" w:rsidR="006D6F53" w:rsidRDefault="006D6F53">
      <w:pPr>
        <w:rPr>
          <w:rFonts w:asciiTheme="minorHAnsi" w:hAnsiTheme="minorHAnsi" w:cstheme="minorHAnsi"/>
          <w:sz w:val="22"/>
          <w:szCs w:val="22"/>
        </w:rPr>
      </w:pPr>
    </w:p>
    <w:p w14:paraId="306F1389" w14:textId="1485EB2F" w:rsidR="0079557F" w:rsidRPr="0079557F" w:rsidRDefault="0079557F" w:rsidP="0079557F">
      <w:pPr>
        <w:rPr>
          <w:rFonts w:asciiTheme="minorHAnsi" w:eastAsia="Aptos" w:hAnsiTheme="minorHAnsi" w:cstheme="minorHAnsi"/>
          <w:kern w:val="2"/>
          <w:sz w:val="22"/>
          <w:szCs w:val="22"/>
          <w:lang w:eastAsia="en-US"/>
          <w14:ligatures w14:val="standardContextual"/>
        </w:rPr>
      </w:pPr>
      <w:r w:rsidRPr="004631C2">
        <w:rPr>
          <w:rFonts w:asciiTheme="minorHAnsi" w:hAnsiTheme="minorHAnsi" w:cstheme="minorHAnsi"/>
          <w:sz w:val="22"/>
          <w:szCs w:val="22"/>
        </w:rPr>
        <w:t xml:space="preserve">Coala solutions och CATE medical devices kommer att ställa sina nuvarande prototyper/produkter inklusive insamlad data till projektets förfogande. Projektets resultat som inkluderar </w:t>
      </w:r>
      <w:r w:rsidRPr="004631C2">
        <w:rPr>
          <w:rFonts w:asciiTheme="minorHAnsi" w:eastAsia="Aptos" w:hAnsiTheme="minorHAnsi" w:cstheme="minorHAnsi"/>
          <w:kern w:val="2"/>
          <w:sz w:val="22"/>
          <w:szCs w:val="22"/>
          <w:lang w:eastAsia="en-US"/>
          <w14:ligatures w14:val="standardContextual"/>
        </w:rPr>
        <w:t>Ai-modeller och mätsitrument kommer att publiceras. Datasätt och kod kommer att kopplas till publikationerna. NTNU</w:t>
      </w:r>
      <w:r w:rsidR="0051542F" w:rsidRPr="004631C2">
        <w:rPr>
          <w:rFonts w:asciiTheme="minorHAnsi" w:eastAsia="Aptos" w:hAnsiTheme="minorHAnsi" w:cstheme="minorHAnsi"/>
          <w:kern w:val="2"/>
          <w:sz w:val="22"/>
          <w:szCs w:val="22"/>
          <w:lang w:eastAsia="en-US"/>
          <w14:ligatures w14:val="standardContextual"/>
        </w:rPr>
        <w:t xml:space="preserve"> önskar dock att ta fram ett nytt eller ett utvidgat licensavtal </w:t>
      </w:r>
      <w:r w:rsidR="004631C2" w:rsidRPr="004631C2">
        <w:rPr>
          <w:rFonts w:asciiTheme="minorHAnsi" w:eastAsia="Aptos" w:hAnsiTheme="minorHAnsi" w:cstheme="minorHAnsi"/>
          <w:kern w:val="2"/>
          <w:sz w:val="22"/>
          <w:szCs w:val="22"/>
          <w:lang w:eastAsia="en-US"/>
          <w14:ligatures w14:val="standardContextual"/>
        </w:rPr>
        <w:t>med</w:t>
      </w:r>
      <w:r w:rsidR="0051542F" w:rsidRPr="004631C2">
        <w:rPr>
          <w:rFonts w:asciiTheme="minorHAnsi" w:eastAsia="Aptos" w:hAnsiTheme="minorHAnsi" w:cstheme="minorHAnsi"/>
          <w:kern w:val="2"/>
          <w:sz w:val="22"/>
          <w:szCs w:val="22"/>
          <w:lang w:eastAsia="en-US"/>
          <w14:ligatures w14:val="standardContextual"/>
        </w:rPr>
        <w:t xml:space="preserve"> CATE i hopp om en kommersialisering av prototypen.</w:t>
      </w:r>
      <w:r w:rsidR="0051542F">
        <w:rPr>
          <w:rFonts w:asciiTheme="minorHAnsi" w:eastAsia="Aptos" w:hAnsiTheme="minorHAnsi" w:cstheme="minorHAnsi"/>
          <w:kern w:val="2"/>
          <w:sz w:val="22"/>
          <w:szCs w:val="22"/>
          <w:lang w:eastAsia="en-US"/>
          <w14:ligatures w14:val="standardContextual"/>
        </w:rPr>
        <w:t xml:space="preserve"> </w:t>
      </w:r>
    </w:p>
    <w:p w14:paraId="76AD3D92" w14:textId="77777777" w:rsidR="00C14338" w:rsidRDefault="00C14338" w:rsidP="00B81E1F">
      <w:pPr>
        <w:rPr>
          <w:rFonts w:asciiTheme="minorHAnsi" w:hAnsiTheme="minorHAnsi" w:cstheme="minorHAnsi"/>
          <w:sz w:val="22"/>
          <w:szCs w:val="22"/>
        </w:rPr>
      </w:pPr>
    </w:p>
    <w:p w14:paraId="0B139A38" w14:textId="77777777" w:rsidR="00C32E5B" w:rsidRPr="00C14338" w:rsidRDefault="001D7A2B" w:rsidP="0010025F">
      <w:pPr>
        <w:pStyle w:val="Overskrift2"/>
        <w:rPr>
          <w:rFonts w:asciiTheme="minorHAnsi" w:hAnsiTheme="minorHAnsi" w:cstheme="minorHAnsi"/>
          <w:sz w:val="28"/>
        </w:rPr>
      </w:pPr>
      <w:r w:rsidRPr="00C14338">
        <w:rPr>
          <w:rFonts w:asciiTheme="minorHAnsi" w:hAnsiTheme="minorHAnsi" w:cstheme="minorHAnsi"/>
          <w:sz w:val="28"/>
        </w:rPr>
        <w:t>Hållbarhets</w:t>
      </w:r>
      <w:r w:rsidR="00093A97" w:rsidRPr="00C14338">
        <w:rPr>
          <w:rFonts w:asciiTheme="minorHAnsi" w:hAnsiTheme="minorHAnsi" w:cstheme="minorHAnsi"/>
          <w:sz w:val="28"/>
        </w:rPr>
        <w:t>kriterier</w:t>
      </w:r>
    </w:p>
    <w:p w14:paraId="0A10057A" w14:textId="77777777" w:rsidR="0010025F" w:rsidRPr="00030864" w:rsidRDefault="001D7A2B" w:rsidP="0010025F">
      <w:pPr>
        <w:rPr>
          <w:rFonts w:asciiTheme="minorHAnsi" w:hAnsiTheme="minorHAnsi" w:cstheme="minorHAnsi"/>
          <w:sz w:val="22"/>
          <w:szCs w:val="22"/>
        </w:rPr>
      </w:pPr>
      <w:r>
        <w:rPr>
          <w:rFonts w:asciiTheme="minorHAnsi" w:hAnsiTheme="minorHAnsi" w:cstheme="minorHAnsi"/>
          <w:sz w:val="22"/>
          <w:szCs w:val="22"/>
        </w:rPr>
        <w:t>Jämställdhet, Icke diskriminering/Lika Möjligheter, Miljö</w:t>
      </w:r>
    </w:p>
    <w:p w14:paraId="23AED677" w14:textId="77777777" w:rsidR="00950656" w:rsidRDefault="00950656" w:rsidP="00950656">
      <w:pPr>
        <w:rPr>
          <w:b/>
        </w:rPr>
      </w:pPr>
    </w:p>
    <w:p w14:paraId="05664F1A" w14:textId="77777777" w:rsidR="00C32E5B" w:rsidRPr="00D14C6F" w:rsidRDefault="001D7A2B" w:rsidP="00950656">
      <w:pPr>
        <w:rPr>
          <w:rFonts w:asciiTheme="minorHAnsi" w:hAnsiTheme="minorHAnsi" w:cstheme="minorHAnsi"/>
          <w:sz w:val="22"/>
          <w:szCs w:val="22"/>
        </w:rPr>
      </w:pPr>
      <w:r w:rsidRPr="00D14C6F">
        <w:rPr>
          <w:rFonts w:asciiTheme="minorHAnsi" w:hAnsiTheme="minorHAnsi" w:cstheme="minorHAnsi"/>
          <w:b/>
          <w:sz w:val="22"/>
          <w:szCs w:val="22"/>
        </w:rPr>
        <w:t>På vilket sätt bidrar hållbarhetskriterierna till projektets möjlighet att nå sina mål</w:t>
      </w:r>
    </w:p>
    <w:p w14:paraId="35B4C581" w14:textId="77777777" w:rsidR="005A4950" w:rsidRDefault="001D7A2B">
      <w:pPr>
        <w:pStyle w:val="Brdtekst"/>
        <w:rPr>
          <w:rFonts w:asciiTheme="minorHAnsi" w:hAnsiTheme="minorHAnsi" w:cstheme="minorHAnsi"/>
          <w:sz w:val="22"/>
          <w:szCs w:val="22"/>
          <w:u w:val="single"/>
        </w:rPr>
      </w:pPr>
      <w:r w:rsidRPr="005A4950">
        <w:rPr>
          <w:rFonts w:asciiTheme="minorHAnsi" w:hAnsiTheme="minorHAnsi" w:cstheme="minorHAnsi"/>
          <w:sz w:val="22"/>
          <w:szCs w:val="22"/>
          <w:u w:val="single"/>
        </w:rPr>
        <w:t>Miljö</w:t>
      </w:r>
      <w:r w:rsidR="005A4950">
        <w:rPr>
          <w:rFonts w:asciiTheme="minorHAnsi" w:hAnsiTheme="minorHAnsi" w:cstheme="minorHAnsi"/>
          <w:sz w:val="22"/>
          <w:szCs w:val="22"/>
          <w:u w:val="single"/>
        </w:rPr>
        <w:t>:</w:t>
      </w:r>
    </w:p>
    <w:p w14:paraId="15255E45" w14:textId="77777777" w:rsidR="005A4950" w:rsidRDefault="001D7A2B" w:rsidP="005A4950">
      <w:pPr>
        <w:pStyle w:val="Brdtekst"/>
        <w:numPr>
          <w:ilvl w:val="0"/>
          <w:numId w:val="10"/>
        </w:numPr>
        <w:rPr>
          <w:rFonts w:asciiTheme="minorHAnsi" w:hAnsiTheme="minorHAnsi" w:cstheme="minorHAnsi"/>
          <w:sz w:val="22"/>
          <w:szCs w:val="22"/>
          <w:u w:val="single"/>
        </w:rPr>
      </w:pPr>
      <w:r>
        <w:rPr>
          <w:rFonts w:asciiTheme="minorHAnsi" w:hAnsiTheme="minorHAnsi" w:cstheme="minorHAnsi"/>
          <w:sz w:val="22"/>
          <w:szCs w:val="22"/>
        </w:rPr>
        <w:t>Tidigare och mer tillförlitlig diagnostik minskar behovet av långvarig intensivvård och resurskrävande behandlingar.</w:t>
      </w:r>
    </w:p>
    <w:p w14:paraId="5F3E45D5" w14:textId="77777777" w:rsidR="005A4950" w:rsidRDefault="001D7A2B" w:rsidP="005A4950">
      <w:pPr>
        <w:pStyle w:val="Brdtekst"/>
        <w:numPr>
          <w:ilvl w:val="0"/>
          <w:numId w:val="10"/>
        </w:numPr>
        <w:rPr>
          <w:rFonts w:asciiTheme="minorHAnsi" w:hAnsiTheme="minorHAnsi" w:cstheme="minorHAnsi"/>
          <w:sz w:val="22"/>
          <w:szCs w:val="22"/>
          <w:u w:val="single"/>
        </w:rPr>
      </w:pPr>
      <w:r w:rsidRPr="005A4950">
        <w:rPr>
          <w:rFonts w:asciiTheme="minorHAnsi" w:hAnsiTheme="minorHAnsi" w:cstheme="minorHAnsi"/>
          <w:sz w:val="22"/>
          <w:szCs w:val="22"/>
        </w:rPr>
        <w:t>Effektivare vårdprocesser reducerar energianvändning och resursförbrukning.</w:t>
      </w:r>
    </w:p>
    <w:p w14:paraId="16C22CCA" w14:textId="77777777" w:rsidR="005A4950" w:rsidRDefault="001D7A2B" w:rsidP="005A4950">
      <w:pPr>
        <w:pStyle w:val="Brdtekst"/>
        <w:numPr>
          <w:ilvl w:val="0"/>
          <w:numId w:val="10"/>
        </w:numPr>
        <w:rPr>
          <w:rFonts w:asciiTheme="minorHAnsi" w:hAnsiTheme="minorHAnsi" w:cstheme="minorHAnsi"/>
          <w:sz w:val="22"/>
          <w:szCs w:val="22"/>
          <w:u w:val="single"/>
        </w:rPr>
      </w:pPr>
      <w:r w:rsidRPr="005A4950">
        <w:rPr>
          <w:rFonts w:asciiTheme="minorHAnsi" w:hAnsiTheme="minorHAnsi" w:cstheme="minorHAnsi"/>
          <w:sz w:val="22"/>
          <w:szCs w:val="22"/>
        </w:rPr>
        <w:t>Bärbara, energieffektiva prototyper minskar behovet av patienttransporter och därmed klimatpåverkan.</w:t>
      </w:r>
    </w:p>
    <w:p w14:paraId="29BB9C18" w14:textId="46932A14" w:rsidR="006D6F53" w:rsidRPr="005A4950" w:rsidRDefault="001D7A2B" w:rsidP="005A4950">
      <w:pPr>
        <w:pStyle w:val="Brdtekst"/>
        <w:numPr>
          <w:ilvl w:val="0"/>
          <w:numId w:val="10"/>
        </w:numPr>
        <w:rPr>
          <w:rFonts w:asciiTheme="minorHAnsi" w:hAnsiTheme="minorHAnsi" w:cstheme="minorHAnsi"/>
          <w:sz w:val="22"/>
          <w:szCs w:val="22"/>
          <w:u w:val="single"/>
        </w:rPr>
      </w:pPr>
      <w:r w:rsidRPr="005A4950">
        <w:rPr>
          <w:rFonts w:asciiTheme="minorHAnsi" w:hAnsiTheme="minorHAnsi" w:cstheme="minorHAnsi"/>
          <w:sz w:val="22"/>
          <w:szCs w:val="22"/>
        </w:rPr>
        <w:t>Delning av AI-metoder mellan hjärt- och hjärnspår undviker dubbelarbete och sparar utvecklingsresurser.</w:t>
      </w:r>
    </w:p>
    <w:p w14:paraId="2C037C32" w14:textId="77777777" w:rsidR="005A4950" w:rsidRDefault="001D7A2B">
      <w:pPr>
        <w:pStyle w:val="Brdtekst"/>
        <w:rPr>
          <w:rFonts w:asciiTheme="minorHAnsi" w:hAnsiTheme="minorHAnsi" w:cstheme="minorHAnsi"/>
          <w:sz w:val="22"/>
          <w:szCs w:val="22"/>
          <w:u w:val="single"/>
        </w:rPr>
      </w:pPr>
      <w:r w:rsidRPr="005A4950">
        <w:rPr>
          <w:rFonts w:asciiTheme="minorHAnsi" w:hAnsiTheme="minorHAnsi" w:cstheme="minorHAnsi"/>
          <w:sz w:val="22"/>
          <w:szCs w:val="22"/>
          <w:u w:val="single"/>
        </w:rPr>
        <w:t>Likestilling og like muligheter</w:t>
      </w:r>
      <w:r w:rsidR="005A4950">
        <w:rPr>
          <w:rFonts w:asciiTheme="minorHAnsi" w:hAnsiTheme="minorHAnsi" w:cstheme="minorHAnsi"/>
          <w:sz w:val="22"/>
          <w:szCs w:val="22"/>
          <w:u w:val="single"/>
        </w:rPr>
        <w:t>:</w:t>
      </w:r>
    </w:p>
    <w:p w14:paraId="1CA63697" w14:textId="77777777" w:rsidR="005A4950" w:rsidRDefault="001D7A2B" w:rsidP="005A4950">
      <w:pPr>
        <w:pStyle w:val="Brdtekst"/>
        <w:numPr>
          <w:ilvl w:val="0"/>
          <w:numId w:val="11"/>
        </w:numPr>
        <w:rPr>
          <w:rFonts w:asciiTheme="minorHAnsi" w:hAnsiTheme="minorHAnsi" w:cstheme="minorHAnsi"/>
          <w:sz w:val="22"/>
          <w:szCs w:val="22"/>
          <w:u w:val="single"/>
        </w:rPr>
      </w:pPr>
      <w:r>
        <w:rPr>
          <w:rFonts w:asciiTheme="minorHAnsi" w:hAnsiTheme="minorHAnsi" w:cstheme="minorHAnsi"/>
          <w:sz w:val="22"/>
          <w:szCs w:val="22"/>
        </w:rPr>
        <w:t>Rekruttering gjennomføres etter prinsipper for likebehandling, med aktiv innsats for å tiltrekke kandidater fra underrepresenterte grupper.</w:t>
      </w:r>
    </w:p>
    <w:p w14:paraId="6EB7C641" w14:textId="77777777" w:rsidR="005A4950" w:rsidRDefault="001D7A2B" w:rsidP="005A4950">
      <w:pPr>
        <w:pStyle w:val="Brdtekst"/>
        <w:numPr>
          <w:ilvl w:val="0"/>
          <w:numId w:val="11"/>
        </w:numPr>
        <w:rPr>
          <w:rFonts w:asciiTheme="minorHAnsi" w:hAnsiTheme="minorHAnsi" w:cstheme="minorHAnsi"/>
          <w:sz w:val="22"/>
          <w:szCs w:val="22"/>
          <w:u w:val="single"/>
        </w:rPr>
      </w:pPr>
      <w:r w:rsidRPr="005A4950">
        <w:rPr>
          <w:rFonts w:asciiTheme="minorHAnsi" w:hAnsiTheme="minorHAnsi" w:cstheme="minorHAnsi"/>
          <w:sz w:val="22"/>
          <w:szCs w:val="22"/>
        </w:rPr>
        <w:t>Kvinnelige forskere og ingeniører løftes fram i kommunikasjon, workshops og arrangementer.</w:t>
      </w:r>
    </w:p>
    <w:p w14:paraId="19BAC84E" w14:textId="3F27A37D" w:rsidR="006D6F53" w:rsidRPr="005A4950" w:rsidRDefault="001D7A2B" w:rsidP="005A4950">
      <w:pPr>
        <w:pStyle w:val="Brdtekst"/>
        <w:numPr>
          <w:ilvl w:val="0"/>
          <w:numId w:val="11"/>
        </w:numPr>
        <w:rPr>
          <w:rFonts w:asciiTheme="minorHAnsi" w:hAnsiTheme="minorHAnsi" w:cstheme="minorHAnsi"/>
          <w:sz w:val="22"/>
          <w:szCs w:val="22"/>
          <w:u w:val="single"/>
        </w:rPr>
      </w:pPr>
      <w:r w:rsidRPr="005A4950">
        <w:rPr>
          <w:rFonts w:asciiTheme="minorHAnsi" w:hAnsiTheme="minorHAnsi" w:cstheme="minorHAnsi"/>
          <w:sz w:val="22"/>
          <w:szCs w:val="22"/>
        </w:rPr>
        <w:t>Prosjektet synliggjør mangfold for å bygge et mer inkluderende forsknings- og innovasjonsmiljø.</w:t>
      </w:r>
    </w:p>
    <w:p w14:paraId="3F59E928" w14:textId="77777777" w:rsidR="005A4950" w:rsidRDefault="001D7A2B">
      <w:pPr>
        <w:pStyle w:val="Brdtekst"/>
        <w:rPr>
          <w:rFonts w:asciiTheme="minorHAnsi" w:hAnsiTheme="minorHAnsi" w:cstheme="minorHAnsi"/>
          <w:sz w:val="22"/>
          <w:szCs w:val="22"/>
          <w:u w:val="single"/>
        </w:rPr>
      </w:pPr>
      <w:r w:rsidRPr="005A4950">
        <w:rPr>
          <w:rFonts w:asciiTheme="minorHAnsi" w:hAnsiTheme="minorHAnsi" w:cstheme="minorHAnsi"/>
          <w:sz w:val="22"/>
          <w:szCs w:val="22"/>
          <w:u w:val="single"/>
        </w:rPr>
        <w:t>Jämställdhet</w:t>
      </w:r>
      <w:r w:rsidR="005A4950">
        <w:rPr>
          <w:rFonts w:asciiTheme="minorHAnsi" w:hAnsiTheme="minorHAnsi" w:cstheme="minorHAnsi"/>
          <w:sz w:val="22"/>
          <w:szCs w:val="22"/>
          <w:u w:val="single"/>
        </w:rPr>
        <w:t>:</w:t>
      </w:r>
    </w:p>
    <w:p w14:paraId="3732C231" w14:textId="77777777" w:rsidR="005A4950" w:rsidRDefault="001D7A2B" w:rsidP="005A4950">
      <w:pPr>
        <w:pStyle w:val="Brdtekst"/>
        <w:numPr>
          <w:ilvl w:val="0"/>
          <w:numId w:val="12"/>
        </w:numPr>
        <w:rPr>
          <w:rFonts w:asciiTheme="minorHAnsi" w:hAnsiTheme="minorHAnsi" w:cstheme="minorHAnsi"/>
          <w:sz w:val="22"/>
          <w:szCs w:val="22"/>
          <w:u w:val="single"/>
        </w:rPr>
      </w:pPr>
      <w:r>
        <w:rPr>
          <w:rFonts w:asciiTheme="minorHAnsi" w:hAnsiTheme="minorHAnsi" w:cstheme="minorHAnsi"/>
          <w:sz w:val="22"/>
          <w:szCs w:val="22"/>
        </w:rPr>
        <w:t>Strävan efter könsbalans i styrgrupp och projektledning.</w:t>
      </w:r>
    </w:p>
    <w:p w14:paraId="3363B890" w14:textId="77777777" w:rsidR="005A4950" w:rsidRDefault="001D7A2B" w:rsidP="005A4950">
      <w:pPr>
        <w:pStyle w:val="Brdtekst"/>
        <w:numPr>
          <w:ilvl w:val="0"/>
          <w:numId w:val="12"/>
        </w:numPr>
        <w:rPr>
          <w:rFonts w:asciiTheme="minorHAnsi" w:hAnsiTheme="minorHAnsi" w:cstheme="minorHAnsi"/>
          <w:sz w:val="22"/>
          <w:szCs w:val="22"/>
          <w:u w:val="single"/>
        </w:rPr>
      </w:pPr>
      <w:r w:rsidRPr="005A4950">
        <w:rPr>
          <w:rFonts w:asciiTheme="minorHAnsi" w:hAnsiTheme="minorHAnsi" w:cstheme="minorHAnsi"/>
          <w:sz w:val="22"/>
          <w:szCs w:val="22"/>
        </w:rPr>
        <w:t>Aktiv rekrytering av kvinnliga doktorander och forskare.</w:t>
      </w:r>
    </w:p>
    <w:p w14:paraId="5143F681" w14:textId="77777777" w:rsidR="005A4950" w:rsidRDefault="001D7A2B" w:rsidP="005A4950">
      <w:pPr>
        <w:pStyle w:val="Brdtekst"/>
        <w:numPr>
          <w:ilvl w:val="0"/>
          <w:numId w:val="12"/>
        </w:numPr>
        <w:rPr>
          <w:rFonts w:asciiTheme="minorHAnsi" w:hAnsiTheme="minorHAnsi" w:cstheme="minorHAnsi"/>
          <w:sz w:val="22"/>
          <w:szCs w:val="22"/>
          <w:u w:val="single"/>
        </w:rPr>
      </w:pPr>
      <w:r w:rsidRPr="005A4950">
        <w:rPr>
          <w:rFonts w:asciiTheme="minorHAnsi" w:hAnsiTheme="minorHAnsi" w:cstheme="minorHAnsi"/>
          <w:sz w:val="22"/>
          <w:szCs w:val="22"/>
        </w:rPr>
        <w:t>Mentorskap och stöd för unga kvinnliga forskare inom AI och medicinteknik.</w:t>
      </w:r>
    </w:p>
    <w:p w14:paraId="0165DC59" w14:textId="37548A75" w:rsidR="006D6F53" w:rsidRPr="005A4950" w:rsidRDefault="005A4950" w:rsidP="005A4950">
      <w:pPr>
        <w:pStyle w:val="Brdtekst"/>
        <w:numPr>
          <w:ilvl w:val="0"/>
          <w:numId w:val="12"/>
        </w:numPr>
        <w:rPr>
          <w:rFonts w:asciiTheme="minorHAnsi" w:hAnsiTheme="minorHAnsi" w:cstheme="minorHAnsi"/>
          <w:sz w:val="22"/>
          <w:szCs w:val="22"/>
          <w:u w:val="single"/>
        </w:rPr>
      </w:pPr>
      <w:r w:rsidRPr="005A4950">
        <w:rPr>
          <w:rFonts w:asciiTheme="minorHAnsi" w:hAnsiTheme="minorHAnsi" w:cstheme="minorHAnsi"/>
          <w:sz w:val="22"/>
          <w:szCs w:val="22"/>
        </w:rPr>
        <w:t>S</w:t>
      </w:r>
      <w:r w:rsidR="001D7A2B" w:rsidRPr="005A4950">
        <w:rPr>
          <w:rFonts w:asciiTheme="minorHAnsi" w:hAnsiTheme="minorHAnsi" w:cstheme="minorHAnsi"/>
          <w:sz w:val="22"/>
          <w:szCs w:val="22"/>
        </w:rPr>
        <w:t>ynlighet av kvinnliga förebilder i projektets externa kommunikation.</w:t>
      </w:r>
    </w:p>
    <w:p w14:paraId="024670F8" w14:textId="77777777" w:rsidR="005A4950" w:rsidRDefault="001D7A2B">
      <w:pPr>
        <w:pStyle w:val="Brdtekst"/>
        <w:rPr>
          <w:rFonts w:asciiTheme="minorHAnsi" w:hAnsiTheme="minorHAnsi" w:cstheme="minorHAnsi"/>
          <w:sz w:val="22"/>
          <w:szCs w:val="22"/>
          <w:u w:val="single"/>
        </w:rPr>
      </w:pPr>
      <w:r w:rsidRPr="005A4950">
        <w:rPr>
          <w:rFonts w:asciiTheme="minorHAnsi" w:hAnsiTheme="minorHAnsi" w:cstheme="minorHAnsi"/>
          <w:sz w:val="22"/>
          <w:szCs w:val="22"/>
          <w:u w:val="single"/>
        </w:rPr>
        <w:t>Sammanfattning</w:t>
      </w:r>
      <w:r w:rsidR="005A4950">
        <w:rPr>
          <w:rFonts w:asciiTheme="minorHAnsi" w:hAnsiTheme="minorHAnsi" w:cstheme="minorHAnsi"/>
          <w:sz w:val="22"/>
          <w:szCs w:val="22"/>
          <w:u w:val="single"/>
        </w:rPr>
        <w:t>:</w:t>
      </w:r>
    </w:p>
    <w:p w14:paraId="130716DA" w14:textId="77777777" w:rsidR="005A4950" w:rsidRDefault="001D7A2B" w:rsidP="005A4950">
      <w:pPr>
        <w:pStyle w:val="Brdtekst"/>
        <w:numPr>
          <w:ilvl w:val="0"/>
          <w:numId w:val="14"/>
        </w:numPr>
        <w:rPr>
          <w:rFonts w:asciiTheme="minorHAnsi" w:hAnsiTheme="minorHAnsi" w:cstheme="minorHAnsi"/>
          <w:sz w:val="22"/>
          <w:szCs w:val="22"/>
          <w:u w:val="single"/>
        </w:rPr>
      </w:pPr>
      <w:r>
        <w:rPr>
          <w:rFonts w:asciiTheme="minorHAnsi" w:hAnsiTheme="minorHAnsi" w:cstheme="minorHAnsi"/>
          <w:sz w:val="22"/>
          <w:szCs w:val="22"/>
        </w:rPr>
        <w:t>Miljömässig hållbarhet stärks genom resurseffektivitet och bärbar teknik.</w:t>
      </w:r>
    </w:p>
    <w:p w14:paraId="65B36A2D" w14:textId="77777777" w:rsidR="005A4950" w:rsidRDefault="001D7A2B" w:rsidP="005A4950">
      <w:pPr>
        <w:pStyle w:val="Brdtekst"/>
        <w:numPr>
          <w:ilvl w:val="0"/>
          <w:numId w:val="14"/>
        </w:numPr>
        <w:rPr>
          <w:rFonts w:asciiTheme="minorHAnsi" w:hAnsiTheme="minorHAnsi" w:cstheme="minorHAnsi"/>
          <w:sz w:val="22"/>
          <w:szCs w:val="22"/>
          <w:u w:val="single"/>
        </w:rPr>
      </w:pPr>
      <w:r w:rsidRPr="005A4950">
        <w:rPr>
          <w:rFonts w:asciiTheme="minorHAnsi" w:hAnsiTheme="minorHAnsi" w:cstheme="minorHAnsi"/>
          <w:sz w:val="22"/>
          <w:szCs w:val="22"/>
        </w:rPr>
        <w:t>Jämställdhet och likestilling säkras genom rekrytering, mentorskap och synlighet.</w:t>
      </w:r>
    </w:p>
    <w:p w14:paraId="0DECB709" w14:textId="77777777" w:rsidR="005A4950" w:rsidRDefault="001D7A2B" w:rsidP="005A4950">
      <w:pPr>
        <w:pStyle w:val="Brdtekst"/>
        <w:numPr>
          <w:ilvl w:val="0"/>
          <w:numId w:val="14"/>
        </w:numPr>
        <w:rPr>
          <w:rFonts w:asciiTheme="minorHAnsi" w:hAnsiTheme="minorHAnsi" w:cstheme="minorHAnsi"/>
          <w:sz w:val="22"/>
          <w:szCs w:val="22"/>
          <w:u w:val="single"/>
        </w:rPr>
      </w:pPr>
      <w:r w:rsidRPr="005A4950">
        <w:rPr>
          <w:rFonts w:asciiTheme="minorHAnsi" w:hAnsiTheme="minorHAnsi" w:cstheme="minorHAnsi"/>
          <w:sz w:val="22"/>
          <w:szCs w:val="22"/>
        </w:rPr>
        <w:t>Ikke-diskriminering og fokus på rural helse gjør at resultaten blir tilgjengelige for hele befolkningen.</w:t>
      </w:r>
    </w:p>
    <w:p w14:paraId="4DD09103" w14:textId="02C65663" w:rsidR="006D6F53" w:rsidRPr="005A4950" w:rsidRDefault="001D7A2B" w:rsidP="005A4950">
      <w:pPr>
        <w:pStyle w:val="Brdtekst"/>
        <w:numPr>
          <w:ilvl w:val="0"/>
          <w:numId w:val="14"/>
        </w:numPr>
        <w:rPr>
          <w:rFonts w:asciiTheme="minorHAnsi" w:hAnsiTheme="minorHAnsi" w:cstheme="minorHAnsi"/>
          <w:sz w:val="22"/>
          <w:szCs w:val="22"/>
          <w:u w:val="single"/>
        </w:rPr>
      </w:pPr>
      <w:r w:rsidRPr="005A4950">
        <w:rPr>
          <w:rFonts w:asciiTheme="minorHAnsi" w:hAnsiTheme="minorHAnsi" w:cstheme="minorHAnsi"/>
          <w:sz w:val="22"/>
          <w:szCs w:val="22"/>
        </w:rPr>
        <w:t>Genom dessa åtgärder blir hållbarhetsaspekterna inte separata mål, utan ett aktivt verktyg för att leverera långsiktig effekt.</w:t>
      </w:r>
    </w:p>
    <w:p w14:paraId="55580E4F" w14:textId="77777777" w:rsidR="00950656" w:rsidRPr="006C7AC4" w:rsidRDefault="00950656" w:rsidP="00C32E5B">
      <w:pPr>
        <w:pStyle w:val="Brdtekst"/>
        <w:rPr>
          <w:rFonts w:asciiTheme="minorHAnsi" w:hAnsiTheme="minorHAnsi" w:cstheme="minorHAnsi"/>
          <w:sz w:val="22"/>
          <w:szCs w:val="22"/>
        </w:rPr>
      </w:pPr>
    </w:p>
    <w:p w14:paraId="2E29CDF5" w14:textId="77777777" w:rsidR="00C32E5B" w:rsidRPr="00D14C6F" w:rsidRDefault="001D7A2B" w:rsidP="00C32E5B">
      <w:pPr>
        <w:pStyle w:val="Brdtekst"/>
        <w:rPr>
          <w:rFonts w:asciiTheme="minorHAnsi" w:hAnsiTheme="minorHAnsi" w:cstheme="minorHAnsi"/>
          <w:b/>
          <w:bCs/>
          <w:sz w:val="22"/>
          <w:szCs w:val="22"/>
        </w:rPr>
      </w:pPr>
      <w:r w:rsidRPr="00D14C6F">
        <w:rPr>
          <w:rFonts w:asciiTheme="minorHAnsi" w:hAnsiTheme="minorHAnsi" w:cstheme="minorHAnsi"/>
          <w:b/>
          <w:bCs/>
          <w:sz w:val="22"/>
          <w:szCs w:val="22"/>
        </w:rPr>
        <w:lastRenderedPageBreak/>
        <w:t>Arbetet med hållbarhets</w:t>
      </w:r>
      <w:r w:rsidR="00093A97" w:rsidRPr="00D14C6F">
        <w:rPr>
          <w:rFonts w:asciiTheme="minorHAnsi" w:hAnsiTheme="minorHAnsi" w:cstheme="minorHAnsi"/>
          <w:b/>
          <w:bCs/>
          <w:sz w:val="22"/>
          <w:szCs w:val="22"/>
        </w:rPr>
        <w:t>kriterierna</w:t>
      </w:r>
    </w:p>
    <w:p w14:paraId="14CF0101" w14:textId="4D36880C" w:rsidR="005E2D89" w:rsidRPr="005A4950" w:rsidRDefault="001D7A2B" w:rsidP="00C32E5B">
      <w:pPr>
        <w:pStyle w:val="Brdtekst"/>
        <w:rPr>
          <w:rFonts w:asciiTheme="minorHAnsi" w:hAnsiTheme="minorHAnsi" w:cstheme="minorHAnsi"/>
          <w:sz w:val="22"/>
          <w:szCs w:val="22"/>
          <w:u w:val="single"/>
        </w:rPr>
      </w:pPr>
      <w:r w:rsidRPr="005A4950">
        <w:rPr>
          <w:rFonts w:asciiTheme="minorHAnsi" w:hAnsiTheme="minorHAnsi" w:cstheme="minorHAnsi"/>
          <w:sz w:val="22"/>
          <w:szCs w:val="22"/>
          <w:u w:val="single"/>
        </w:rPr>
        <w:t>Miljö</w:t>
      </w:r>
      <w:r w:rsidR="005A4950">
        <w:rPr>
          <w:rFonts w:asciiTheme="minorHAnsi" w:hAnsiTheme="minorHAnsi" w:cstheme="minorHAnsi"/>
          <w:sz w:val="22"/>
          <w:szCs w:val="22"/>
          <w:u w:val="single"/>
        </w:rPr>
        <w:t>:</w:t>
      </w:r>
    </w:p>
    <w:p w14:paraId="7153E659" w14:textId="77777777" w:rsidR="005A4950" w:rsidRDefault="001D7A2B" w:rsidP="005A4950">
      <w:pPr>
        <w:pStyle w:val="Brdtekst"/>
        <w:numPr>
          <w:ilvl w:val="0"/>
          <w:numId w:val="15"/>
        </w:numPr>
        <w:rPr>
          <w:rFonts w:asciiTheme="minorHAnsi" w:hAnsiTheme="minorHAnsi" w:cstheme="minorHAnsi"/>
          <w:sz w:val="22"/>
          <w:szCs w:val="22"/>
        </w:rPr>
      </w:pPr>
      <w:r>
        <w:rPr>
          <w:rFonts w:asciiTheme="minorHAnsi" w:hAnsiTheme="minorHAnsi" w:cstheme="minorHAnsi"/>
          <w:sz w:val="22"/>
          <w:szCs w:val="22"/>
        </w:rPr>
        <w:t>AI-modeller utvecklas för att effektivisera diagnostik och minska behovet av onödiga tester och behandlingar.</w:t>
      </w:r>
    </w:p>
    <w:p w14:paraId="0167C841" w14:textId="77777777" w:rsidR="005A4950" w:rsidRDefault="001D7A2B" w:rsidP="005A4950">
      <w:pPr>
        <w:pStyle w:val="Brdtekst"/>
        <w:numPr>
          <w:ilvl w:val="0"/>
          <w:numId w:val="15"/>
        </w:numPr>
        <w:rPr>
          <w:rFonts w:asciiTheme="minorHAnsi" w:hAnsiTheme="minorHAnsi" w:cstheme="minorHAnsi"/>
          <w:sz w:val="22"/>
          <w:szCs w:val="22"/>
        </w:rPr>
      </w:pPr>
      <w:r w:rsidRPr="005A4950">
        <w:rPr>
          <w:rFonts w:asciiTheme="minorHAnsi" w:hAnsiTheme="minorHAnsi" w:cstheme="minorHAnsi"/>
          <w:sz w:val="22"/>
          <w:szCs w:val="22"/>
        </w:rPr>
        <w:t>Portabla och energieffektiva prototyper designas för användning även utanför sjukhusmiljöer.</w:t>
      </w:r>
    </w:p>
    <w:p w14:paraId="523B2747" w14:textId="77777777" w:rsidR="005A4950" w:rsidRDefault="001D7A2B" w:rsidP="005A4950">
      <w:pPr>
        <w:pStyle w:val="Brdtekst"/>
        <w:numPr>
          <w:ilvl w:val="0"/>
          <w:numId w:val="15"/>
        </w:numPr>
        <w:rPr>
          <w:rFonts w:asciiTheme="minorHAnsi" w:hAnsiTheme="minorHAnsi" w:cstheme="minorHAnsi"/>
          <w:sz w:val="22"/>
          <w:szCs w:val="22"/>
        </w:rPr>
      </w:pPr>
      <w:r w:rsidRPr="005A4950">
        <w:rPr>
          <w:rFonts w:asciiTheme="minorHAnsi" w:hAnsiTheme="minorHAnsi" w:cstheme="minorHAnsi"/>
          <w:sz w:val="22"/>
          <w:szCs w:val="22"/>
        </w:rPr>
        <w:t>Kliniska valideringar analyserar hur bättre beslutsstöd kan reducera resurskrävande vård.</w:t>
      </w:r>
    </w:p>
    <w:p w14:paraId="432DFA80" w14:textId="7D055FDA" w:rsidR="006D6F53" w:rsidRPr="005A4950" w:rsidRDefault="001D7A2B" w:rsidP="005A4950">
      <w:pPr>
        <w:pStyle w:val="Brdtekst"/>
        <w:numPr>
          <w:ilvl w:val="0"/>
          <w:numId w:val="15"/>
        </w:numPr>
        <w:rPr>
          <w:rFonts w:asciiTheme="minorHAnsi" w:hAnsiTheme="minorHAnsi" w:cstheme="minorHAnsi"/>
          <w:sz w:val="22"/>
          <w:szCs w:val="22"/>
        </w:rPr>
      </w:pPr>
      <w:r w:rsidRPr="005A4950">
        <w:rPr>
          <w:rFonts w:asciiTheme="minorHAnsi" w:hAnsiTheme="minorHAnsi" w:cstheme="minorHAnsi"/>
          <w:sz w:val="22"/>
          <w:szCs w:val="22"/>
        </w:rPr>
        <w:t>Genom kunskapsöverföring av AI-metoder mellan plattformarna undviks dubbelarbete och utvecklingen blir mer resurseffektiv.</w:t>
      </w:r>
    </w:p>
    <w:p w14:paraId="55EFDB03" w14:textId="07931D29" w:rsidR="006D6F53" w:rsidRPr="00E41CBC" w:rsidRDefault="001D7A2B">
      <w:pPr>
        <w:pStyle w:val="Brdtekst"/>
        <w:rPr>
          <w:rFonts w:asciiTheme="minorHAnsi" w:hAnsiTheme="minorHAnsi" w:cstheme="minorHAnsi"/>
          <w:sz w:val="22"/>
          <w:szCs w:val="22"/>
          <w:u w:val="single"/>
        </w:rPr>
      </w:pPr>
      <w:r w:rsidRPr="00E41CBC">
        <w:rPr>
          <w:rFonts w:asciiTheme="minorHAnsi" w:hAnsiTheme="minorHAnsi" w:cstheme="minorHAnsi"/>
          <w:sz w:val="22"/>
          <w:szCs w:val="22"/>
          <w:u w:val="single"/>
        </w:rPr>
        <w:t>Likestilling og like muligheter</w:t>
      </w:r>
      <w:r w:rsidR="00E41CBC">
        <w:rPr>
          <w:rFonts w:asciiTheme="minorHAnsi" w:hAnsiTheme="minorHAnsi" w:cstheme="minorHAnsi"/>
          <w:sz w:val="22"/>
          <w:szCs w:val="22"/>
          <w:u w:val="single"/>
        </w:rPr>
        <w:t>:</w:t>
      </w:r>
    </w:p>
    <w:p w14:paraId="28F5ADFF" w14:textId="77777777" w:rsidR="00E41CBC" w:rsidRDefault="001D7A2B" w:rsidP="00E41CBC">
      <w:pPr>
        <w:pStyle w:val="Brdtekst"/>
        <w:numPr>
          <w:ilvl w:val="0"/>
          <w:numId w:val="16"/>
        </w:numPr>
        <w:rPr>
          <w:rFonts w:asciiTheme="minorHAnsi" w:hAnsiTheme="minorHAnsi" w:cstheme="minorHAnsi"/>
          <w:sz w:val="22"/>
          <w:szCs w:val="22"/>
        </w:rPr>
      </w:pPr>
      <w:r>
        <w:rPr>
          <w:rFonts w:asciiTheme="minorHAnsi" w:hAnsiTheme="minorHAnsi" w:cstheme="minorHAnsi"/>
          <w:sz w:val="22"/>
          <w:szCs w:val="22"/>
        </w:rPr>
        <w:t>Rekruttering av nye medarbeidere følger prinsipper for likebehandling og åpen konkurranse.</w:t>
      </w:r>
    </w:p>
    <w:p w14:paraId="334FE388" w14:textId="77777777" w:rsidR="00E41CBC" w:rsidRDefault="001D7A2B" w:rsidP="00E41CBC">
      <w:pPr>
        <w:pStyle w:val="Brdtekst"/>
        <w:numPr>
          <w:ilvl w:val="0"/>
          <w:numId w:val="16"/>
        </w:numPr>
        <w:rPr>
          <w:rFonts w:asciiTheme="minorHAnsi" w:hAnsiTheme="minorHAnsi" w:cstheme="minorHAnsi"/>
          <w:sz w:val="22"/>
          <w:szCs w:val="22"/>
        </w:rPr>
      </w:pPr>
      <w:r w:rsidRPr="00E41CBC">
        <w:rPr>
          <w:rFonts w:asciiTheme="minorHAnsi" w:hAnsiTheme="minorHAnsi" w:cstheme="minorHAnsi"/>
          <w:sz w:val="22"/>
          <w:szCs w:val="22"/>
        </w:rPr>
        <w:t>Prosjektet oppmuntrer kvinner og kandidater fra underrepresenterte grupper til å søke på forskningsstillinger.</w:t>
      </w:r>
    </w:p>
    <w:p w14:paraId="047EA207" w14:textId="77777777" w:rsidR="00E41CBC" w:rsidRDefault="001D7A2B" w:rsidP="00E41CBC">
      <w:pPr>
        <w:pStyle w:val="Brdtekst"/>
        <w:numPr>
          <w:ilvl w:val="0"/>
          <w:numId w:val="16"/>
        </w:numPr>
        <w:rPr>
          <w:rFonts w:asciiTheme="minorHAnsi" w:hAnsiTheme="minorHAnsi" w:cstheme="minorHAnsi"/>
          <w:sz w:val="22"/>
          <w:szCs w:val="22"/>
        </w:rPr>
      </w:pPr>
      <w:r w:rsidRPr="00E41CBC">
        <w:rPr>
          <w:rFonts w:asciiTheme="minorHAnsi" w:hAnsiTheme="minorHAnsi" w:cstheme="minorHAnsi"/>
          <w:sz w:val="22"/>
          <w:szCs w:val="22"/>
        </w:rPr>
        <w:t>Helsepersonell og pasientorganisasjoner fra ulike miljøer inkluderes i workshops og dialogmøter.</w:t>
      </w:r>
    </w:p>
    <w:p w14:paraId="240BE2CA" w14:textId="0E94FB70" w:rsidR="006D6F53" w:rsidRPr="00E41CBC" w:rsidRDefault="001D7A2B" w:rsidP="00E41CBC">
      <w:pPr>
        <w:pStyle w:val="Brdtekst"/>
        <w:numPr>
          <w:ilvl w:val="0"/>
          <w:numId w:val="16"/>
        </w:numPr>
        <w:rPr>
          <w:rFonts w:asciiTheme="minorHAnsi" w:hAnsiTheme="minorHAnsi" w:cstheme="minorHAnsi"/>
          <w:sz w:val="22"/>
          <w:szCs w:val="22"/>
        </w:rPr>
      </w:pPr>
      <w:r w:rsidRPr="00E41CBC">
        <w:rPr>
          <w:rFonts w:asciiTheme="minorHAnsi" w:hAnsiTheme="minorHAnsi" w:cstheme="minorHAnsi"/>
          <w:sz w:val="22"/>
          <w:szCs w:val="22"/>
        </w:rPr>
        <w:t>Kommunikasjon og formidling bruker inkluderende språk og fremhever mangfold i prosjektgruppen.</w:t>
      </w:r>
    </w:p>
    <w:p w14:paraId="1D745681" w14:textId="77777777" w:rsidR="00E41CBC" w:rsidRDefault="001D7A2B">
      <w:pPr>
        <w:pStyle w:val="Brdtekst"/>
        <w:rPr>
          <w:rFonts w:asciiTheme="minorHAnsi" w:hAnsiTheme="minorHAnsi" w:cstheme="minorHAnsi"/>
          <w:sz w:val="22"/>
          <w:szCs w:val="22"/>
          <w:u w:val="single"/>
        </w:rPr>
      </w:pPr>
      <w:r w:rsidRPr="00E41CBC">
        <w:rPr>
          <w:rFonts w:asciiTheme="minorHAnsi" w:hAnsiTheme="minorHAnsi" w:cstheme="minorHAnsi"/>
          <w:sz w:val="22"/>
          <w:szCs w:val="22"/>
          <w:u w:val="single"/>
        </w:rPr>
        <w:t>Jämställdhet</w:t>
      </w:r>
      <w:r w:rsidR="00E41CBC">
        <w:rPr>
          <w:rFonts w:asciiTheme="minorHAnsi" w:hAnsiTheme="minorHAnsi" w:cstheme="minorHAnsi"/>
          <w:sz w:val="22"/>
          <w:szCs w:val="22"/>
          <w:u w:val="single"/>
        </w:rPr>
        <w:t>:</w:t>
      </w:r>
    </w:p>
    <w:p w14:paraId="0D6F47A9" w14:textId="77777777" w:rsidR="00E41CBC" w:rsidRDefault="001D7A2B" w:rsidP="00E41CBC">
      <w:pPr>
        <w:pStyle w:val="Brdtekst"/>
        <w:numPr>
          <w:ilvl w:val="0"/>
          <w:numId w:val="17"/>
        </w:numPr>
        <w:rPr>
          <w:rFonts w:asciiTheme="minorHAnsi" w:hAnsiTheme="minorHAnsi" w:cstheme="minorHAnsi"/>
          <w:sz w:val="22"/>
          <w:szCs w:val="22"/>
          <w:u w:val="single"/>
        </w:rPr>
      </w:pPr>
      <w:r>
        <w:rPr>
          <w:rFonts w:asciiTheme="minorHAnsi" w:hAnsiTheme="minorHAnsi" w:cstheme="minorHAnsi"/>
          <w:sz w:val="22"/>
          <w:szCs w:val="22"/>
        </w:rPr>
        <w:t>Projektledning och styrgrupp organiseras för att uppnå könsbalans.</w:t>
      </w:r>
    </w:p>
    <w:p w14:paraId="626ACE27" w14:textId="77777777" w:rsidR="00E41CBC" w:rsidRDefault="001D7A2B" w:rsidP="00E41CBC">
      <w:pPr>
        <w:pStyle w:val="Brdtekst"/>
        <w:numPr>
          <w:ilvl w:val="0"/>
          <w:numId w:val="17"/>
        </w:numPr>
        <w:rPr>
          <w:rFonts w:asciiTheme="minorHAnsi" w:hAnsiTheme="minorHAnsi" w:cstheme="minorHAnsi"/>
          <w:sz w:val="22"/>
          <w:szCs w:val="22"/>
          <w:u w:val="single"/>
        </w:rPr>
      </w:pPr>
      <w:r w:rsidRPr="00E41CBC">
        <w:rPr>
          <w:rFonts w:asciiTheme="minorHAnsi" w:hAnsiTheme="minorHAnsi" w:cstheme="minorHAnsi"/>
          <w:sz w:val="22"/>
          <w:szCs w:val="22"/>
        </w:rPr>
        <w:t>Särskild satsning på mentorskap för unga kvinnliga forskare inom AI och medicinteknik.</w:t>
      </w:r>
    </w:p>
    <w:p w14:paraId="09BAFF5E" w14:textId="77777777" w:rsidR="00E41CBC" w:rsidRDefault="001D7A2B" w:rsidP="00E41CBC">
      <w:pPr>
        <w:pStyle w:val="Brdtekst"/>
        <w:numPr>
          <w:ilvl w:val="0"/>
          <w:numId w:val="17"/>
        </w:numPr>
        <w:rPr>
          <w:rFonts w:asciiTheme="minorHAnsi" w:hAnsiTheme="minorHAnsi" w:cstheme="minorHAnsi"/>
          <w:sz w:val="22"/>
          <w:szCs w:val="22"/>
          <w:u w:val="single"/>
        </w:rPr>
      </w:pPr>
      <w:r w:rsidRPr="00E41CBC">
        <w:rPr>
          <w:rFonts w:asciiTheme="minorHAnsi" w:hAnsiTheme="minorHAnsi" w:cstheme="minorHAnsi"/>
          <w:sz w:val="22"/>
          <w:szCs w:val="22"/>
        </w:rPr>
        <w:t>Kommunikationsaktiviteter lyfter fram kvinnliga förebilder i teknik och vård.</w:t>
      </w:r>
    </w:p>
    <w:p w14:paraId="48C049BE" w14:textId="2030C324" w:rsidR="006D6F53" w:rsidRPr="00E41CBC" w:rsidRDefault="001D7A2B" w:rsidP="00E41CBC">
      <w:pPr>
        <w:pStyle w:val="Brdtekst"/>
        <w:numPr>
          <w:ilvl w:val="0"/>
          <w:numId w:val="17"/>
        </w:numPr>
        <w:rPr>
          <w:rFonts w:asciiTheme="minorHAnsi" w:hAnsiTheme="minorHAnsi" w:cstheme="minorHAnsi"/>
          <w:sz w:val="22"/>
          <w:szCs w:val="22"/>
          <w:u w:val="single"/>
        </w:rPr>
      </w:pPr>
      <w:r w:rsidRPr="00E41CBC">
        <w:rPr>
          <w:rFonts w:asciiTheme="minorHAnsi" w:hAnsiTheme="minorHAnsi" w:cstheme="minorHAnsi"/>
          <w:sz w:val="22"/>
          <w:szCs w:val="22"/>
        </w:rPr>
        <w:t>Workshops och konferenser planeras för att skapa en inkluderande miljö med jämn representation.</w:t>
      </w:r>
    </w:p>
    <w:p w14:paraId="560161AC" w14:textId="67431C62" w:rsidR="006D6F53" w:rsidRPr="00E41CBC" w:rsidRDefault="001D7A2B">
      <w:pPr>
        <w:pStyle w:val="Brdtekst"/>
        <w:rPr>
          <w:rFonts w:asciiTheme="minorHAnsi" w:hAnsiTheme="minorHAnsi" w:cstheme="minorHAnsi"/>
          <w:sz w:val="22"/>
          <w:szCs w:val="22"/>
          <w:u w:val="single"/>
        </w:rPr>
      </w:pPr>
      <w:r w:rsidRPr="00E41CBC">
        <w:rPr>
          <w:rFonts w:asciiTheme="minorHAnsi" w:hAnsiTheme="minorHAnsi" w:cstheme="minorHAnsi"/>
          <w:sz w:val="22"/>
          <w:szCs w:val="22"/>
          <w:u w:val="single"/>
        </w:rPr>
        <w:t>Sammanfattning</w:t>
      </w:r>
      <w:r w:rsidR="00E41CBC">
        <w:rPr>
          <w:rFonts w:asciiTheme="minorHAnsi" w:hAnsiTheme="minorHAnsi" w:cstheme="minorHAnsi"/>
          <w:sz w:val="22"/>
          <w:szCs w:val="22"/>
          <w:u w:val="single"/>
        </w:rPr>
        <w:t>:</w:t>
      </w:r>
    </w:p>
    <w:p w14:paraId="765A220F" w14:textId="77777777" w:rsidR="00E41CBC" w:rsidRDefault="001D7A2B" w:rsidP="00E41CBC">
      <w:pPr>
        <w:pStyle w:val="Brdtekst"/>
        <w:numPr>
          <w:ilvl w:val="0"/>
          <w:numId w:val="19"/>
        </w:numPr>
        <w:rPr>
          <w:rFonts w:asciiTheme="minorHAnsi" w:hAnsiTheme="minorHAnsi" w:cstheme="minorHAnsi"/>
          <w:sz w:val="22"/>
          <w:szCs w:val="22"/>
        </w:rPr>
      </w:pPr>
      <w:r>
        <w:rPr>
          <w:rFonts w:asciiTheme="minorHAnsi" w:hAnsiTheme="minorHAnsi" w:cstheme="minorHAnsi"/>
          <w:sz w:val="22"/>
          <w:szCs w:val="22"/>
        </w:rPr>
        <w:t>Miljömässig hållbarhet säkras genom resurseffektiva metoder och portabla lösningar.</w:t>
      </w:r>
    </w:p>
    <w:p w14:paraId="77864FA7" w14:textId="77777777" w:rsidR="00E41CBC" w:rsidRDefault="001D7A2B" w:rsidP="00E41CBC">
      <w:pPr>
        <w:pStyle w:val="Brdtekst"/>
        <w:numPr>
          <w:ilvl w:val="0"/>
          <w:numId w:val="19"/>
        </w:numPr>
        <w:rPr>
          <w:rFonts w:asciiTheme="minorHAnsi" w:hAnsiTheme="minorHAnsi" w:cstheme="minorHAnsi"/>
          <w:sz w:val="22"/>
          <w:szCs w:val="22"/>
        </w:rPr>
      </w:pPr>
      <w:r w:rsidRPr="00E41CBC">
        <w:rPr>
          <w:rFonts w:asciiTheme="minorHAnsi" w:hAnsiTheme="minorHAnsi" w:cstheme="minorHAnsi"/>
          <w:sz w:val="22"/>
          <w:szCs w:val="22"/>
        </w:rPr>
        <w:t>Jämställdhet och likestilling främjas genom rekrytering, mentorskap och synlighet.</w:t>
      </w:r>
    </w:p>
    <w:p w14:paraId="0DA678A8" w14:textId="16E2CF1F" w:rsidR="007969C4" w:rsidRDefault="001D7A2B" w:rsidP="00EE4D0F">
      <w:pPr>
        <w:pStyle w:val="Brdtekst"/>
        <w:numPr>
          <w:ilvl w:val="0"/>
          <w:numId w:val="19"/>
        </w:numPr>
        <w:rPr>
          <w:rFonts w:asciiTheme="minorHAnsi" w:hAnsiTheme="minorHAnsi" w:cstheme="minorHAnsi"/>
          <w:sz w:val="22"/>
          <w:szCs w:val="22"/>
        </w:rPr>
      </w:pPr>
      <w:r w:rsidRPr="00E41CBC">
        <w:rPr>
          <w:rFonts w:asciiTheme="minorHAnsi" w:hAnsiTheme="minorHAnsi" w:cstheme="minorHAnsi"/>
          <w:sz w:val="22"/>
          <w:szCs w:val="22"/>
        </w:rPr>
        <w:t>Ikke-diskriminering och fokus på rural helse gör att resultaten når fler och stärker vårdens jämlikhet.</w:t>
      </w:r>
    </w:p>
    <w:p w14:paraId="378EF0B9" w14:textId="77777777" w:rsidR="00133B41" w:rsidRDefault="00133B41" w:rsidP="00EE4D0F">
      <w:pPr>
        <w:rPr>
          <w:rFonts w:ascii="Calibri" w:hAnsi="Calibri"/>
          <w:b/>
          <w:sz w:val="28"/>
          <w:szCs w:val="28"/>
        </w:rPr>
      </w:pPr>
    </w:p>
    <w:p w14:paraId="466F71D7" w14:textId="5DF2680F" w:rsidR="007969C4" w:rsidRPr="00C14338" w:rsidRDefault="001D7A2B" w:rsidP="00EE4D0F">
      <w:pPr>
        <w:rPr>
          <w:rFonts w:ascii="Calibri" w:hAnsi="Calibri"/>
          <w:b/>
          <w:sz w:val="28"/>
          <w:szCs w:val="28"/>
        </w:rPr>
      </w:pPr>
      <w:r w:rsidRPr="00C14338">
        <w:rPr>
          <w:rFonts w:ascii="Calibri" w:hAnsi="Calibri"/>
          <w:b/>
          <w:sz w:val="28"/>
          <w:szCs w:val="28"/>
        </w:rPr>
        <w:t xml:space="preserve">Arbetspaket och </w:t>
      </w:r>
      <w:r w:rsidR="0042013D">
        <w:rPr>
          <w:rFonts w:ascii="Calibri" w:hAnsi="Calibri"/>
          <w:b/>
          <w:sz w:val="28"/>
          <w:szCs w:val="28"/>
        </w:rPr>
        <w:t>a</w:t>
      </w:r>
      <w:r w:rsidRPr="00C14338">
        <w:rPr>
          <w:rFonts w:ascii="Calibri" w:hAnsi="Calibri"/>
          <w:b/>
          <w:sz w:val="28"/>
          <w:szCs w:val="28"/>
        </w:rPr>
        <w:t>ktiviteter</w:t>
      </w:r>
    </w:p>
    <w:tbl>
      <w:tblPr>
        <w:tblStyle w:val="Tabellrutenett"/>
        <w:tblW w:w="6007"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70"/>
        <w:gridCol w:w="5668"/>
        <w:gridCol w:w="1276"/>
        <w:gridCol w:w="992"/>
      </w:tblGrid>
      <w:tr w:rsidR="006D6F53" w14:paraId="72B95A2C" w14:textId="77777777" w:rsidTr="008F3D1D">
        <w:tc>
          <w:tcPr>
            <w:tcW w:w="1112" w:type="pct"/>
            <w:shd w:val="clear" w:color="auto" w:fill="DBE5F1" w:themeFill="accent1" w:themeFillTint="33"/>
          </w:tcPr>
          <w:p w14:paraId="3C6F1069" w14:textId="77777777" w:rsidR="008E4009" w:rsidRPr="00361245" w:rsidRDefault="001D7A2B" w:rsidP="008E4009">
            <w:pPr>
              <w:jc w:val="center"/>
              <w:rPr>
                <w:rFonts w:asciiTheme="minorHAnsi" w:hAnsiTheme="minorHAnsi" w:cstheme="minorHAnsi"/>
                <w:b/>
                <w:bCs/>
              </w:rPr>
            </w:pPr>
            <w:bookmarkStart w:id="0" w:name="_Hlk111100124"/>
            <w:r w:rsidRPr="00361245">
              <w:rPr>
                <w:rFonts w:asciiTheme="minorHAnsi" w:hAnsiTheme="minorHAnsi" w:cstheme="minorHAnsi"/>
                <w:b/>
                <w:bCs/>
              </w:rPr>
              <w:t>Aktivitet</w:t>
            </w:r>
          </w:p>
        </w:tc>
        <w:tc>
          <w:tcPr>
            <w:tcW w:w="2777" w:type="pct"/>
            <w:shd w:val="clear" w:color="auto" w:fill="DBE5F1" w:themeFill="accent1" w:themeFillTint="33"/>
          </w:tcPr>
          <w:p w14:paraId="0BD554AE" w14:textId="77777777" w:rsidR="008E4009" w:rsidRPr="00361245" w:rsidRDefault="001D7A2B" w:rsidP="008E4009">
            <w:pPr>
              <w:jc w:val="center"/>
              <w:rPr>
                <w:rFonts w:asciiTheme="minorHAnsi" w:hAnsiTheme="minorHAnsi" w:cstheme="minorHAnsi"/>
                <w:b/>
                <w:bCs/>
              </w:rPr>
            </w:pPr>
            <w:r w:rsidRPr="00361245">
              <w:rPr>
                <w:rFonts w:asciiTheme="minorHAnsi" w:hAnsiTheme="minorHAnsi" w:cstheme="minorHAnsi"/>
                <w:b/>
                <w:bCs/>
              </w:rPr>
              <w:t>Beskrivning</w:t>
            </w:r>
          </w:p>
        </w:tc>
        <w:tc>
          <w:tcPr>
            <w:tcW w:w="625" w:type="pct"/>
            <w:shd w:val="clear" w:color="auto" w:fill="DBE5F1" w:themeFill="accent1" w:themeFillTint="33"/>
          </w:tcPr>
          <w:p w14:paraId="121E4419" w14:textId="77777777" w:rsidR="008E4009" w:rsidRPr="00361245" w:rsidRDefault="001D7A2B" w:rsidP="008E4009">
            <w:pPr>
              <w:jc w:val="center"/>
              <w:rPr>
                <w:rFonts w:asciiTheme="minorHAnsi" w:hAnsiTheme="minorHAnsi" w:cstheme="minorHAnsi"/>
                <w:b/>
                <w:bCs/>
              </w:rPr>
            </w:pPr>
            <w:r w:rsidRPr="00361245">
              <w:rPr>
                <w:rFonts w:asciiTheme="minorHAnsi" w:hAnsiTheme="minorHAnsi" w:cstheme="minorHAnsi"/>
                <w:b/>
                <w:bCs/>
              </w:rPr>
              <w:t>Startdatum - Slutdatum</w:t>
            </w:r>
          </w:p>
        </w:tc>
        <w:tc>
          <w:tcPr>
            <w:tcW w:w="486" w:type="pct"/>
            <w:shd w:val="clear" w:color="auto" w:fill="DBE5F1" w:themeFill="accent1" w:themeFillTint="33"/>
          </w:tcPr>
          <w:p w14:paraId="2E271EFE" w14:textId="77777777" w:rsidR="008E4009" w:rsidRPr="00361245" w:rsidRDefault="001D7A2B" w:rsidP="00F71C00">
            <w:pPr>
              <w:jc w:val="center"/>
              <w:rPr>
                <w:rFonts w:asciiTheme="minorHAnsi" w:hAnsiTheme="minorHAnsi" w:cstheme="minorHAnsi"/>
                <w:b/>
                <w:bCs/>
              </w:rPr>
            </w:pPr>
            <w:r w:rsidRPr="00361245">
              <w:rPr>
                <w:rFonts w:asciiTheme="minorHAnsi" w:hAnsiTheme="minorHAnsi" w:cstheme="minorHAnsi"/>
                <w:b/>
                <w:bCs/>
              </w:rPr>
              <w:t>Kostnad</w:t>
            </w:r>
          </w:p>
          <w:p w14:paraId="2DDCBAAF" w14:textId="77777777" w:rsidR="00F71C00" w:rsidRDefault="001D7A2B" w:rsidP="00F71C00">
            <w:pPr>
              <w:jc w:val="center"/>
              <w:rPr>
                <w:rFonts w:asciiTheme="minorHAnsi" w:hAnsiTheme="minorHAnsi" w:cstheme="minorHAnsi"/>
                <w:b/>
                <w:bCs/>
              </w:rPr>
            </w:pPr>
            <w:r w:rsidRPr="00361245">
              <w:rPr>
                <w:rFonts w:asciiTheme="minorHAnsi" w:hAnsiTheme="minorHAnsi" w:cstheme="minorHAnsi"/>
                <w:b/>
                <w:bCs/>
              </w:rPr>
              <w:t>S</w:t>
            </w:r>
            <w:r w:rsidR="00361245">
              <w:rPr>
                <w:rFonts w:asciiTheme="minorHAnsi" w:hAnsiTheme="minorHAnsi" w:cstheme="minorHAnsi"/>
                <w:b/>
                <w:bCs/>
              </w:rPr>
              <w:t>V</w:t>
            </w:r>
            <w:r w:rsidRPr="00361245">
              <w:rPr>
                <w:rFonts w:asciiTheme="minorHAnsi" w:hAnsiTheme="minorHAnsi" w:cstheme="minorHAnsi"/>
                <w:b/>
                <w:bCs/>
              </w:rPr>
              <w:t>+NO</w:t>
            </w:r>
          </w:p>
          <w:p w14:paraId="07F29F33" w14:textId="77777777" w:rsidR="00361245" w:rsidRPr="00361245" w:rsidRDefault="001D7A2B" w:rsidP="00F71C00">
            <w:pPr>
              <w:jc w:val="center"/>
              <w:rPr>
                <w:rFonts w:asciiTheme="minorHAnsi" w:hAnsiTheme="minorHAnsi" w:cstheme="minorHAnsi"/>
                <w:b/>
                <w:bCs/>
              </w:rPr>
            </w:pPr>
            <w:r>
              <w:rPr>
                <w:rFonts w:asciiTheme="minorHAnsi" w:hAnsiTheme="minorHAnsi" w:cstheme="minorHAnsi"/>
                <w:b/>
                <w:bCs/>
              </w:rPr>
              <w:t>EUR</w:t>
            </w:r>
          </w:p>
          <w:p w14:paraId="01D20FEB" w14:textId="77777777" w:rsidR="00F71C00" w:rsidRPr="00361245" w:rsidRDefault="00F71C00" w:rsidP="008E4009">
            <w:pPr>
              <w:jc w:val="right"/>
              <w:rPr>
                <w:rFonts w:ascii="Arial" w:hAnsi="Arial" w:cs="Arial"/>
                <w:b/>
                <w:bCs/>
              </w:rPr>
            </w:pPr>
          </w:p>
        </w:tc>
      </w:tr>
      <w:bookmarkEnd w:id="0"/>
      <w:tr w:rsidR="006D6F53" w14:paraId="193CFA41"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4BC545D8" w14:textId="447F05C0" w:rsidR="00CD7EFA" w:rsidRDefault="001D7A2B" w:rsidP="00CD7EFA">
            <w:pPr>
              <w:jc w:val="left"/>
              <w:rPr>
                <w:rFonts w:ascii="Cambria" w:hAnsi="Cambria"/>
                <w:b/>
                <w:bCs/>
                <w:sz w:val="22"/>
                <w:szCs w:val="22"/>
              </w:rPr>
            </w:pPr>
            <w:r>
              <w:rPr>
                <w:rFonts w:asciiTheme="minorHAnsi" w:hAnsiTheme="minorHAnsi" w:cstheme="minorHAnsi"/>
                <w:b/>
                <w:bCs/>
                <w:sz w:val="16"/>
                <w:szCs w:val="16"/>
              </w:rPr>
              <w:t>1</w:t>
            </w:r>
            <w:r>
              <w:rPr>
                <w:rFonts w:asciiTheme="minorHAnsi" w:hAnsiTheme="minorHAnsi" w:cstheme="minorHAnsi"/>
              </w:rPr>
              <w:t xml:space="preserve"> Projektledning och utvärdering</w:t>
            </w:r>
          </w:p>
        </w:tc>
        <w:tc>
          <w:tcPr>
            <w:tcW w:w="2777" w:type="pct"/>
            <w:tcBorders>
              <w:top w:val="dotted" w:sz="4" w:space="0" w:color="auto"/>
              <w:left w:val="dotted" w:sz="4" w:space="0" w:color="auto"/>
              <w:bottom w:val="dotted" w:sz="4" w:space="0" w:color="auto"/>
              <w:right w:val="dotted" w:sz="4" w:space="0" w:color="auto"/>
            </w:tcBorders>
            <w:hideMark/>
          </w:tcPr>
          <w:p w14:paraId="57B3FF36" w14:textId="580C7742" w:rsidR="006D6F53" w:rsidRDefault="001D7A2B" w:rsidP="000B1CFC">
            <w:pPr>
              <w:jc w:val="left"/>
              <w:rPr>
                <w:rFonts w:ascii="Cambria" w:hAnsi="Cambria"/>
                <w:b/>
                <w:bCs/>
                <w:sz w:val="22"/>
                <w:szCs w:val="22"/>
              </w:rPr>
            </w:pPr>
            <w:r>
              <w:rPr>
                <w:rFonts w:asciiTheme="minorHAnsi" w:hAnsiTheme="minorHAnsi" w:cstheme="minorHAnsi"/>
              </w:rPr>
              <w:t>Arbetspaketet omfattar planering, uppföljning av budget och resurser, koordinering mellan arbetspaketen samt löpande rapportering. Evaluering integreras i ledningsprocessen för att möjliggöra kontinuerligt lärande och anpassning. Intern monitorering följer upp leverabler, milstolpar och resursanvändning</w:t>
            </w:r>
            <w:r w:rsidR="000B1CFC">
              <w:rPr>
                <w:rFonts w:asciiTheme="minorHAnsi" w:hAnsiTheme="minorHAnsi" w:cstheme="minorHAnsi"/>
              </w:rPr>
              <w:t xml:space="preserve">. </w:t>
            </w:r>
          </w:p>
        </w:tc>
        <w:tc>
          <w:tcPr>
            <w:tcW w:w="625" w:type="pct"/>
            <w:tcBorders>
              <w:top w:val="dotted" w:sz="4" w:space="0" w:color="auto"/>
              <w:left w:val="dotted" w:sz="4" w:space="0" w:color="auto"/>
              <w:bottom w:val="dotted" w:sz="4" w:space="0" w:color="auto"/>
              <w:right w:val="dotted" w:sz="4" w:space="0" w:color="auto"/>
            </w:tcBorders>
            <w:hideMark/>
          </w:tcPr>
          <w:p w14:paraId="2F5292BC"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0DD40127" w14:textId="77777777" w:rsidR="00CD7EFA" w:rsidRDefault="00CD7EFA">
            <w:pPr>
              <w:jc w:val="right"/>
              <w:rPr>
                <w:rFonts w:ascii="Cambria" w:hAnsi="Cambria"/>
                <w:b/>
                <w:bCs/>
                <w:sz w:val="22"/>
                <w:szCs w:val="22"/>
              </w:rPr>
            </w:pPr>
          </w:p>
        </w:tc>
      </w:tr>
      <w:tr w:rsidR="006D6F53" w14:paraId="7596F465"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53595539" w14:textId="6AB5AE35" w:rsidR="00CD7EFA" w:rsidRDefault="001D7A2B" w:rsidP="00CD7EFA">
            <w:pPr>
              <w:jc w:val="left"/>
              <w:rPr>
                <w:rFonts w:ascii="Cambria" w:hAnsi="Cambria"/>
                <w:b/>
                <w:bCs/>
                <w:sz w:val="22"/>
                <w:szCs w:val="22"/>
              </w:rPr>
            </w:pPr>
            <w:r>
              <w:rPr>
                <w:rFonts w:asciiTheme="minorHAnsi" w:hAnsiTheme="minorHAnsi" w:cstheme="minorHAnsi"/>
                <w:b/>
                <w:bCs/>
                <w:sz w:val="16"/>
                <w:szCs w:val="16"/>
              </w:rPr>
              <w:t>1.1</w:t>
            </w:r>
            <w:r>
              <w:t xml:space="preserve"> </w:t>
            </w:r>
            <w:r>
              <w:rPr>
                <w:rFonts w:asciiTheme="minorHAnsi" w:hAnsiTheme="minorHAnsi" w:cstheme="minorHAnsi"/>
              </w:rPr>
              <w:t>Projektkoordinering och rapportering</w:t>
            </w:r>
          </w:p>
        </w:tc>
        <w:tc>
          <w:tcPr>
            <w:tcW w:w="2777" w:type="pct"/>
            <w:tcBorders>
              <w:top w:val="dotted" w:sz="4" w:space="0" w:color="auto"/>
              <w:left w:val="dotted" w:sz="4" w:space="0" w:color="auto"/>
              <w:bottom w:val="dotted" w:sz="4" w:space="0" w:color="auto"/>
              <w:right w:val="dotted" w:sz="4" w:space="0" w:color="auto"/>
            </w:tcBorders>
            <w:hideMark/>
          </w:tcPr>
          <w:p w14:paraId="6D2B4E78" w14:textId="1ADD231C" w:rsidR="006D6F53" w:rsidRDefault="001D7A2B">
            <w:pPr>
              <w:jc w:val="left"/>
              <w:rPr>
                <w:rFonts w:ascii="Cambria" w:hAnsi="Cambria"/>
                <w:b/>
                <w:bCs/>
                <w:sz w:val="22"/>
                <w:szCs w:val="22"/>
              </w:rPr>
            </w:pPr>
            <w:r>
              <w:rPr>
                <w:rFonts w:asciiTheme="minorHAnsi" w:hAnsiTheme="minorHAnsi" w:cstheme="minorHAnsi"/>
              </w:rPr>
              <w:t>Projektledaren ansvarar för planering, tidsuppföljning och att alla aktiviteter levererar i tid. Tydliga rutiner införs för tidrapportering och resursfördelning.</w:t>
            </w:r>
            <w:r w:rsidR="000B1CFC">
              <w:rPr>
                <w:rFonts w:asciiTheme="minorHAnsi" w:hAnsiTheme="minorHAnsi"/>
              </w:rPr>
              <w:t xml:space="preserve"> </w:t>
            </w:r>
            <w:r>
              <w:rPr>
                <w:rFonts w:asciiTheme="minorHAnsi" w:hAnsiTheme="minorHAnsi" w:cstheme="minorHAnsi"/>
              </w:rPr>
              <w:t>NTNU rapporterer kvartalsvis til Mittuniversitetet med status på aktiviteter, ressursbruk og fremdrift. Dette skaper transparens og mulighet for tidlig identifisering av avvik. All koordinering dokumenteras i digitala projektverktyg</w:t>
            </w:r>
            <w:r w:rsidR="000B1CFC">
              <w:rPr>
                <w:rFonts w:asciiTheme="minorHAnsi" w:hAnsiTheme="minorHAnsi" w:cstheme="minorHAnsi"/>
              </w:rPr>
              <w:t>.</w:t>
            </w:r>
          </w:p>
        </w:tc>
        <w:tc>
          <w:tcPr>
            <w:tcW w:w="625" w:type="pct"/>
            <w:tcBorders>
              <w:top w:val="dotted" w:sz="4" w:space="0" w:color="auto"/>
              <w:left w:val="dotted" w:sz="4" w:space="0" w:color="auto"/>
              <w:bottom w:val="dotted" w:sz="4" w:space="0" w:color="auto"/>
              <w:right w:val="dotted" w:sz="4" w:space="0" w:color="auto"/>
            </w:tcBorders>
            <w:hideMark/>
          </w:tcPr>
          <w:p w14:paraId="316E541F"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709DECEB" w14:textId="77777777" w:rsidR="00CD7EFA" w:rsidRDefault="001D7A2B">
            <w:pPr>
              <w:jc w:val="right"/>
              <w:rPr>
                <w:rFonts w:ascii="Cambria" w:hAnsi="Cambria"/>
                <w:b/>
                <w:bCs/>
                <w:sz w:val="22"/>
                <w:szCs w:val="22"/>
              </w:rPr>
            </w:pPr>
            <w:r>
              <w:rPr>
                <w:rFonts w:asciiTheme="minorHAnsi" w:hAnsiTheme="minorHAnsi" w:cstheme="minorHAnsi"/>
              </w:rPr>
              <w:t>42 000</w:t>
            </w:r>
          </w:p>
        </w:tc>
      </w:tr>
      <w:tr w:rsidR="006D6F53" w14:paraId="3AB5B444"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3B2ABECD" w14:textId="669E99C6" w:rsidR="00CD7EFA" w:rsidRDefault="001D7A2B" w:rsidP="00CD7EFA">
            <w:pPr>
              <w:jc w:val="left"/>
              <w:rPr>
                <w:rFonts w:ascii="Cambria" w:hAnsi="Cambria"/>
                <w:b/>
                <w:bCs/>
                <w:sz w:val="22"/>
                <w:szCs w:val="22"/>
              </w:rPr>
            </w:pPr>
            <w:r>
              <w:rPr>
                <w:rFonts w:asciiTheme="minorHAnsi" w:hAnsiTheme="minorHAnsi" w:cstheme="minorHAnsi"/>
                <w:b/>
                <w:bCs/>
                <w:sz w:val="16"/>
                <w:szCs w:val="16"/>
              </w:rPr>
              <w:lastRenderedPageBreak/>
              <w:t>1.2</w:t>
            </w:r>
            <w:r>
              <w:rPr>
                <w:rFonts w:asciiTheme="minorHAnsi" w:hAnsiTheme="minorHAnsi" w:cstheme="minorHAnsi"/>
              </w:rPr>
              <w:t xml:space="preserve"> Styrgrupp och styrning</w:t>
            </w:r>
          </w:p>
        </w:tc>
        <w:tc>
          <w:tcPr>
            <w:tcW w:w="2777" w:type="pct"/>
            <w:tcBorders>
              <w:top w:val="dotted" w:sz="4" w:space="0" w:color="auto"/>
              <w:left w:val="dotted" w:sz="4" w:space="0" w:color="auto"/>
              <w:bottom w:val="dotted" w:sz="4" w:space="0" w:color="auto"/>
              <w:right w:val="dotted" w:sz="4" w:space="0" w:color="auto"/>
            </w:tcBorders>
            <w:hideMark/>
          </w:tcPr>
          <w:p w14:paraId="71E69EE7" w14:textId="705C19DA" w:rsidR="00CD7EFA" w:rsidRDefault="001D7A2B" w:rsidP="00CD7EFA">
            <w:pPr>
              <w:jc w:val="left"/>
              <w:rPr>
                <w:rFonts w:ascii="Cambria" w:hAnsi="Cambria"/>
                <w:b/>
                <w:bCs/>
                <w:sz w:val="22"/>
                <w:szCs w:val="22"/>
              </w:rPr>
            </w:pPr>
            <w:r>
              <w:rPr>
                <w:rFonts w:asciiTheme="minorHAnsi" w:hAnsiTheme="minorHAnsi" w:cstheme="minorHAnsi"/>
              </w:rPr>
              <w:t>Gruppen möts regelbundet (minst två gånger per år) för att granska projektets status och ge strategiska rekommendationer. Styrgruppen fastställer prioriteringar, godkänner större ändringar i plan eller budget och hanterar risker.</w:t>
            </w:r>
          </w:p>
          <w:p w14:paraId="376AFB5B" w14:textId="3098A9E9" w:rsidR="006D6F53" w:rsidRDefault="001D7A2B">
            <w:pPr>
              <w:jc w:val="left"/>
              <w:rPr>
                <w:rFonts w:ascii="Cambria" w:hAnsi="Cambria"/>
                <w:b/>
                <w:bCs/>
                <w:sz w:val="22"/>
                <w:szCs w:val="22"/>
              </w:rPr>
            </w:pPr>
            <w:r>
              <w:rPr>
                <w:rFonts w:asciiTheme="minorHAnsi" w:hAnsiTheme="minorHAnsi" w:cstheme="minorHAnsi"/>
              </w:rPr>
              <w:t xml:space="preserve">Styringsgruppen i Norge vil ha ansvar for å løfte frem spesifikke kliniske behov og sikre at prosjektet er relevant for helsetjenesten. I Sverige ansvarar styrgruppen för att resultaten också når innovationssystemet och SME-aktörer. </w:t>
            </w:r>
          </w:p>
        </w:tc>
        <w:tc>
          <w:tcPr>
            <w:tcW w:w="625" w:type="pct"/>
            <w:tcBorders>
              <w:top w:val="dotted" w:sz="4" w:space="0" w:color="auto"/>
              <w:left w:val="dotted" w:sz="4" w:space="0" w:color="auto"/>
              <w:bottom w:val="dotted" w:sz="4" w:space="0" w:color="auto"/>
              <w:right w:val="dotted" w:sz="4" w:space="0" w:color="auto"/>
            </w:tcBorders>
            <w:hideMark/>
          </w:tcPr>
          <w:p w14:paraId="1E399A38"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22DE06C0" w14:textId="77777777" w:rsidR="00CD7EFA" w:rsidRDefault="001D7A2B">
            <w:pPr>
              <w:jc w:val="right"/>
              <w:rPr>
                <w:rFonts w:ascii="Cambria" w:hAnsi="Cambria"/>
                <w:b/>
                <w:bCs/>
                <w:sz w:val="22"/>
                <w:szCs w:val="22"/>
              </w:rPr>
            </w:pPr>
            <w:r>
              <w:rPr>
                <w:rFonts w:asciiTheme="minorHAnsi" w:hAnsiTheme="minorHAnsi" w:cstheme="minorHAnsi"/>
              </w:rPr>
              <w:t>41 000</w:t>
            </w:r>
          </w:p>
        </w:tc>
      </w:tr>
      <w:tr w:rsidR="006D6F53" w14:paraId="40AC17C9"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67D1573D" w14:textId="7782A6F2" w:rsidR="00CD7EFA" w:rsidRDefault="001D7A2B" w:rsidP="00CD7EFA">
            <w:pPr>
              <w:jc w:val="left"/>
              <w:rPr>
                <w:rFonts w:ascii="Cambria" w:hAnsi="Cambria"/>
                <w:b/>
                <w:bCs/>
                <w:sz w:val="22"/>
                <w:szCs w:val="22"/>
              </w:rPr>
            </w:pPr>
            <w:r>
              <w:rPr>
                <w:rFonts w:asciiTheme="minorHAnsi" w:hAnsiTheme="minorHAnsi" w:cstheme="minorHAnsi"/>
                <w:b/>
                <w:bCs/>
                <w:sz w:val="16"/>
                <w:szCs w:val="16"/>
              </w:rPr>
              <w:t>1.3</w:t>
            </w:r>
            <w:r>
              <w:rPr>
                <w:rFonts w:asciiTheme="minorHAnsi" w:hAnsiTheme="minorHAnsi" w:cstheme="minorHAnsi"/>
              </w:rPr>
              <w:t xml:space="preserve"> Evaluering och kvalitetssäkring</w:t>
            </w:r>
          </w:p>
        </w:tc>
        <w:tc>
          <w:tcPr>
            <w:tcW w:w="2777" w:type="pct"/>
            <w:tcBorders>
              <w:top w:val="dotted" w:sz="4" w:space="0" w:color="auto"/>
              <w:left w:val="dotted" w:sz="4" w:space="0" w:color="auto"/>
              <w:bottom w:val="dotted" w:sz="4" w:space="0" w:color="auto"/>
              <w:right w:val="dotted" w:sz="4" w:space="0" w:color="auto"/>
            </w:tcBorders>
            <w:hideMark/>
          </w:tcPr>
          <w:p w14:paraId="650CA463" w14:textId="35C115CE" w:rsidR="00CD7EFA" w:rsidRDefault="001D7A2B" w:rsidP="00CD7EFA">
            <w:pPr>
              <w:jc w:val="left"/>
              <w:rPr>
                <w:rFonts w:ascii="Cambria" w:hAnsi="Cambria"/>
                <w:b/>
                <w:bCs/>
                <w:sz w:val="22"/>
                <w:szCs w:val="22"/>
              </w:rPr>
            </w:pPr>
            <w:r>
              <w:rPr>
                <w:rFonts w:asciiTheme="minorHAnsi" w:hAnsiTheme="minorHAnsi" w:cstheme="minorHAnsi"/>
              </w:rPr>
              <w:t>Projektgruppen organiserar interna avstämningar varje månad för att identifiera hinder och justera arbetssätt. Varje kvartal levereras en utvärderingsrapport till styrgruppen, där framdrift och resultat jämförs med plan.</w:t>
            </w:r>
          </w:p>
          <w:p w14:paraId="310B5304" w14:textId="6BBB2715" w:rsidR="006D6F53" w:rsidRDefault="001D7A2B">
            <w:pPr>
              <w:jc w:val="left"/>
              <w:rPr>
                <w:rFonts w:ascii="Cambria" w:hAnsi="Cambria"/>
                <w:b/>
                <w:bCs/>
                <w:sz w:val="22"/>
                <w:szCs w:val="22"/>
              </w:rPr>
            </w:pPr>
            <w:r>
              <w:rPr>
                <w:rFonts w:asciiTheme="minorHAnsi" w:hAnsiTheme="minorHAnsi" w:cstheme="minorHAnsi"/>
              </w:rPr>
              <w:t xml:space="preserve">NTNU bidrar med kvalitetssikring av kliniske aktiviteter, inkludert datasikkerhet, etiske hensyn og personvern. Evalueringen omfattar även projektets arbete med jämställdhet, icke-diskriminering och miljömässig hållbarhet. Erfarenheter dokumenteras i en lärandebank som delas med alla partner, så att kunskapen kan användas i framtida projekt. </w:t>
            </w:r>
          </w:p>
        </w:tc>
        <w:tc>
          <w:tcPr>
            <w:tcW w:w="625" w:type="pct"/>
            <w:tcBorders>
              <w:top w:val="dotted" w:sz="4" w:space="0" w:color="auto"/>
              <w:left w:val="dotted" w:sz="4" w:space="0" w:color="auto"/>
              <w:bottom w:val="dotted" w:sz="4" w:space="0" w:color="auto"/>
              <w:right w:val="dotted" w:sz="4" w:space="0" w:color="auto"/>
            </w:tcBorders>
            <w:hideMark/>
          </w:tcPr>
          <w:p w14:paraId="1A7C8D42"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3743D76C" w14:textId="77777777" w:rsidR="00CD7EFA" w:rsidRDefault="001D7A2B">
            <w:pPr>
              <w:jc w:val="right"/>
              <w:rPr>
                <w:rFonts w:ascii="Cambria" w:hAnsi="Cambria"/>
                <w:b/>
                <w:bCs/>
                <w:sz w:val="22"/>
                <w:szCs w:val="22"/>
              </w:rPr>
            </w:pPr>
            <w:r>
              <w:rPr>
                <w:rFonts w:asciiTheme="minorHAnsi" w:hAnsiTheme="minorHAnsi" w:cstheme="minorHAnsi"/>
              </w:rPr>
              <w:t>41 143</w:t>
            </w:r>
          </w:p>
        </w:tc>
      </w:tr>
      <w:tr w:rsidR="006D6F53" w14:paraId="14D54588"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251953C9" w14:textId="64DBB9D4" w:rsidR="00CD7EFA" w:rsidRDefault="001D7A2B" w:rsidP="00CD7EFA">
            <w:pPr>
              <w:jc w:val="left"/>
              <w:rPr>
                <w:rFonts w:ascii="Cambria" w:hAnsi="Cambria"/>
                <w:b/>
                <w:bCs/>
                <w:sz w:val="22"/>
                <w:szCs w:val="22"/>
              </w:rPr>
            </w:pPr>
            <w:r>
              <w:rPr>
                <w:rFonts w:asciiTheme="minorHAnsi" w:hAnsiTheme="minorHAnsi" w:cstheme="minorHAnsi"/>
                <w:b/>
                <w:bCs/>
                <w:sz w:val="16"/>
                <w:szCs w:val="16"/>
              </w:rPr>
              <w:t>2</w:t>
            </w:r>
            <w:r>
              <w:rPr>
                <w:rFonts w:asciiTheme="minorHAnsi" w:hAnsiTheme="minorHAnsi" w:cstheme="minorHAnsi"/>
              </w:rPr>
              <w:t xml:space="preserve"> Nätverkande och innovationsmiljö</w:t>
            </w:r>
          </w:p>
        </w:tc>
        <w:tc>
          <w:tcPr>
            <w:tcW w:w="2777" w:type="pct"/>
            <w:tcBorders>
              <w:top w:val="dotted" w:sz="4" w:space="0" w:color="auto"/>
              <w:left w:val="dotted" w:sz="4" w:space="0" w:color="auto"/>
              <w:bottom w:val="dotted" w:sz="4" w:space="0" w:color="auto"/>
              <w:right w:val="dotted" w:sz="4" w:space="0" w:color="auto"/>
            </w:tcBorders>
            <w:hideMark/>
          </w:tcPr>
          <w:p w14:paraId="57B010B9" w14:textId="77777777" w:rsidR="00CD7EFA" w:rsidRDefault="001D7A2B" w:rsidP="00CD7EFA">
            <w:pPr>
              <w:jc w:val="left"/>
              <w:rPr>
                <w:rFonts w:ascii="Cambria" w:hAnsi="Cambria"/>
                <w:b/>
                <w:bCs/>
                <w:sz w:val="22"/>
                <w:szCs w:val="22"/>
              </w:rPr>
            </w:pPr>
            <w:r>
              <w:rPr>
                <w:rFonts w:asciiTheme="minorHAnsi" w:hAnsiTheme="minorHAnsi" w:cstheme="minorHAnsi"/>
              </w:rPr>
              <w:t>Detta arbetspaket etablerar och utvecklar ett innovationsnätverk som knyter samman universitet, små och medelstora företag, vårdgivare och andra aktörer i både Sverige och Norge. Syftet är att säkerställa att projektets resultat integreras i en bredare kontext och att kunskap sprids utanför konsortiet.</w:t>
            </w:r>
          </w:p>
          <w:p w14:paraId="44376EB2" w14:textId="77777777" w:rsidR="006D6F53" w:rsidRDefault="001D7A2B">
            <w:pPr>
              <w:jc w:val="left"/>
              <w:rPr>
                <w:rFonts w:ascii="Cambria" w:hAnsi="Cambria"/>
                <w:b/>
                <w:bCs/>
                <w:sz w:val="22"/>
                <w:szCs w:val="22"/>
              </w:rPr>
            </w:pPr>
            <w:r>
              <w:rPr>
                <w:rFonts w:asciiTheme="minorHAnsi" w:hAnsiTheme="minorHAnsi" w:cstheme="minorHAnsi"/>
              </w:rPr>
              <w:t>En viktig dimension är hållbarhet och inkludering. Prosjektet fremmer like muligheter gjennom å trekke inn mangfoldige aktører, synliggjøre kvinnelige rollemodeller og stimulere til økt deltakelse fra underrepresenterte grupper. Dette styrker innovasjonsnettverket både faglig og sosialt.</w:t>
            </w:r>
          </w:p>
          <w:p w14:paraId="1D9E71F1" w14:textId="77777777" w:rsidR="006D6F53" w:rsidRDefault="001D7A2B">
            <w:pPr>
              <w:jc w:val="left"/>
              <w:rPr>
                <w:rFonts w:ascii="Cambria" w:hAnsi="Cambria"/>
                <w:b/>
                <w:bCs/>
                <w:sz w:val="22"/>
                <w:szCs w:val="22"/>
              </w:rPr>
            </w:pPr>
            <w:r>
              <w:rPr>
                <w:rFonts w:asciiTheme="minorHAnsi" w:hAnsiTheme="minorHAnsi" w:cstheme="minorHAnsi"/>
              </w:rPr>
              <w:t>En långsiktig ambition är att nätverket lever vidare efter projektet, genom att driva nya ansökningar, pilotstudier och kommersialiseringar. Ved å koble sammen hjertemonitorering i Sverige med hjernemonitorering i Norge skapes et unikt læringsmiljø, hvor AI-metoder og datastrategier deles på tvers av landegrensene.</w:t>
            </w:r>
          </w:p>
        </w:tc>
        <w:tc>
          <w:tcPr>
            <w:tcW w:w="625" w:type="pct"/>
            <w:tcBorders>
              <w:top w:val="dotted" w:sz="4" w:space="0" w:color="auto"/>
              <w:left w:val="dotted" w:sz="4" w:space="0" w:color="auto"/>
              <w:bottom w:val="dotted" w:sz="4" w:space="0" w:color="auto"/>
              <w:right w:val="dotted" w:sz="4" w:space="0" w:color="auto"/>
            </w:tcBorders>
            <w:hideMark/>
          </w:tcPr>
          <w:p w14:paraId="6285E4C5"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45A63893" w14:textId="77777777" w:rsidR="00CD7EFA" w:rsidRDefault="00CD7EFA">
            <w:pPr>
              <w:jc w:val="right"/>
              <w:rPr>
                <w:rFonts w:ascii="Cambria" w:hAnsi="Cambria"/>
                <w:b/>
                <w:bCs/>
                <w:sz w:val="22"/>
                <w:szCs w:val="22"/>
              </w:rPr>
            </w:pPr>
          </w:p>
        </w:tc>
      </w:tr>
      <w:tr w:rsidR="006D6F53" w14:paraId="71A918A1"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54D93BFC" w14:textId="2A4E28F1" w:rsidR="00CD7EFA" w:rsidRDefault="001D7A2B" w:rsidP="00CD7EFA">
            <w:pPr>
              <w:jc w:val="left"/>
              <w:rPr>
                <w:rFonts w:ascii="Cambria" w:hAnsi="Cambria"/>
                <w:b/>
                <w:bCs/>
                <w:sz w:val="22"/>
                <w:szCs w:val="22"/>
              </w:rPr>
            </w:pPr>
            <w:r>
              <w:rPr>
                <w:rFonts w:asciiTheme="minorHAnsi" w:hAnsiTheme="minorHAnsi" w:cstheme="minorHAnsi"/>
                <w:b/>
                <w:bCs/>
                <w:sz w:val="16"/>
                <w:szCs w:val="16"/>
              </w:rPr>
              <w:t>2.1</w:t>
            </w:r>
            <w:r>
              <w:rPr>
                <w:rFonts w:asciiTheme="minorHAnsi" w:hAnsiTheme="minorHAnsi" w:cstheme="minorHAnsi"/>
              </w:rPr>
              <w:t xml:space="preserve"> Etablering av innovationsnätverk</w:t>
            </w:r>
          </w:p>
        </w:tc>
        <w:tc>
          <w:tcPr>
            <w:tcW w:w="2777" w:type="pct"/>
            <w:tcBorders>
              <w:top w:val="dotted" w:sz="4" w:space="0" w:color="auto"/>
              <w:left w:val="dotted" w:sz="4" w:space="0" w:color="auto"/>
              <w:bottom w:val="dotted" w:sz="4" w:space="0" w:color="auto"/>
              <w:right w:val="dotted" w:sz="4" w:space="0" w:color="auto"/>
            </w:tcBorders>
            <w:hideMark/>
          </w:tcPr>
          <w:p w14:paraId="2CDF1AA0" w14:textId="77777777" w:rsidR="00CD7EFA" w:rsidRDefault="001D7A2B" w:rsidP="00CD7EFA">
            <w:pPr>
              <w:jc w:val="left"/>
              <w:rPr>
                <w:rFonts w:ascii="Cambria" w:hAnsi="Cambria"/>
                <w:b/>
                <w:bCs/>
                <w:sz w:val="22"/>
                <w:szCs w:val="22"/>
              </w:rPr>
            </w:pPr>
            <w:r>
              <w:rPr>
                <w:rFonts w:asciiTheme="minorHAnsi" w:hAnsiTheme="minorHAnsi" w:cstheme="minorHAnsi"/>
              </w:rPr>
              <w:t>Kartläggning av relevanta aktörer genomförs i båda länderna under projektets första fas. Detta inkluderar vårdgivare, SME, akademiska forskargrupper och myndigheter. NTNU koordinerer etableringen av nettverket i nært samarbeid med Miun, og definerer struktur, kommunikasjonskanaler og møteplasser.</w:t>
            </w:r>
          </w:p>
          <w:p w14:paraId="060D2B12" w14:textId="0A75E7CE" w:rsidR="006D6F53" w:rsidRDefault="001D7A2B">
            <w:pPr>
              <w:jc w:val="left"/>
              <w:rPr>
                <w:rFonts w:ascii="Cambria" w:hAnsi="Cambria"/>
                <w:b/>
                <w:bCs/>
                <w:sz w:val="22"/>
                <w:szCs w:val="22"/>
              </w:rPr>
            </w:pPr>
            <w:r>
              <w:rPr>
                <w:rFonts w:asciiTheme="minorHAnsi" w:hAnsiTheme="minorHAnsi" w:cstheme="minorHAnsi"/>
              </w:rPr>
              <w:t xml:space="preserve">Syftet är att skapa en plattform där aktörer kan utbyta kunskap, identifiera gemensamma behov och samverka kring nya lösningar. Redan i etableringsfasen kommer en digital plattform att tas fram för delning av material, prototyper och forskningsresultat. </w:t>
            </w:r>
          </w:p>
        </w:tc>
        <w:tc>
          <w:tcPr>
            <w:tcW w:w="625" w:type="pct"/>
            <w:tcBorders>
              <w:top w:val="dotted" w:sz="4" w:space="0" w:color="auto"/>
              <w:left w:val="dotted" w:sz="4" w:space="0" w:color="auto"/>
              <w:bottom w:val="dotted" w:sz="4" w:space="0" w:color="auto"/>
              <w:right w:val="dotted" w:sz="4" w:space="0" w:color="auto"/>
            </w:tcBorders>
            <w:hideMark/>
          </w:tcPr>
          <w:p w14:paraId="4239F4D5"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4472580F" w14:textId="77777777" w:rsidR="00CD7EFA" w:rsidRDefault="001D7A2B">
            <w:pPr>
              <w:jc w:val="right"/>
              <w:rPr>
                <w:rFonts w:ascii="Cambria" w:hAnsi="Cambria"/>
                <w:b/>
                <w:bCs/>
                <w:sz w:val="22"/>
                <w:szCs w:val="22"/>
              </w:rPr>
            </w:pPr>
            <w:r>
              <w:rPr>
                <w:rFonts w:asciiTheme="minorHAnsi" w:hAnsiTheme="minorHAnsi" w:cstheme="minorHAnsi"/>
              </w:rPr>
              <w:t>41 000</w:t>
            </w:r>
          </w:p>
        </w:tc>
      </w:tr>
      <w:tr w:rsidR="006D6F53" w14:paraId="265821B4"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7F22C8E1" w14:textId="684A92E4" w:rsidR="00CD7EFA" w:rsidRDefault="001D7A2B" w:rsidP="00CD7EFA">
            <w:pPr>
              <w:jc w:val="left"/>
              <w:rPr>
                <w:rFonts w:ascii="Cambria" w:hAnsi="Cambria"/>
                <w:b/>
                <w:bCs/>
                <w:sz w:val="22"/>
                <w:szCs w:val="22"/>
              </w:rPr>
            </w:pPr>
            <w:r>
              <w:rPr>
                <w:rFonts w:asciiTheme="minorHAnsi" w:hAnsiTheme="minorHAnsi" w:cstheme="minorHAnsi"/>
                <w:b/>
                <w:bCs/>
                <w:sz w:val="16"/>
                <w:szCs w:val="16"/>
              </w:rPr>
              <w:t>2.2</w:t>
            </w:r>
            <w:r>
              <w:t xml:space="preserve"> </w:t>
            </w:r>
            <w:r>
              <w:rPr>
                <w:rFonts w:asciiTheme="minorHAnsi" w:hAnsiTheme="minorHAnsi" w:cstheme="minorHAnsi"/>
              </w:rPr>
              <w:t>Workshops och tematiska möten</w:t>
            </w:r>
          </w:p>
        </w:tc>
        <w:tc>
          <w:tcPr>
            <w:tcW w:w="2777" w:type="pct"/>
            <w:tcBorders>
              <w:top w:val="dotted" w:sz="4" w:space="0" w:color="auto"/>
              <w:left w:val="dotted" w:sz="4" w:space="0" w:color="auto"/>
              <w:bottom w:val="dotted" w:sz="4" w:space="0" w:color="auto"/>
              <w:right w:val="dotted" w:sz="4" w:space="0" w:color="auto"/>
            </w:tcBorders>
            <w:hideMark/>
          </w:tcPr>
          <w:p w14:paraId="1F3115FE" w14:textId="58199AA2" w:rsidR="006D6F53" w:rsidRDefault="001D7A2B">
            <w:pPr>
              <w:jc w:val="left"/>
              <w:rPr>
                <w:rFonts w:ascii="Cambria" w:hAnsi="Cambria"/>
                <w:b/>
                <w:bCs/>
                <w:sz w:val="22"/>
                <w:szCs w:val="22"/>
              </w:rPr>
            </w:pPr>
            <w:r>
              <w:rPr>
                <w:rFonts w:asciiTheme="minorHAnsi" w:hAnsiTheme="minorHAnsi" w:cstheme="minorHAnsi"/>
              </w:rPr>
              <w:t>Projektet organiserar workshops två gånger per år, växelvis i Sverige och Norge. Dessa samlar forskare, industripartner, vårdpersonal och policyaktörer. Fokus ligger på sensorteknik, AI och klinisk validering, samt på hållbarhetsaspekter som jämställdhet och lika möjligheter.</w:t>
            </w:r>
            <w:r w:rsidR="00E66CD0">
              <w:rPr>
                <w:rFonts w:asciiTheme="minorHAnsi" w:hAnsiTheme="minorHAnsi"/>
              </w:rPr>
              <w:t xml:space="preserve"> </w:t>
            </w:r>
            <w:r>
              <w:rPr>
                <w:rFonts w:asciiTheme="minorHAnsi" w:hAnsiTheme="minorHAnsi" w:cstheme="minorHAnsi"/>
              </w:rPr>
              <w:t xml:space="preserve">Workshopene vil inkludere praktiske demonstrasjoner av prototyper, samt sesjoner hvor helsepersonell kan gi direkte tilbakemeldinger. I Sverige används workshops också som kanal för SME att kopplas in i innovationskedjan. </w:t>
            </w:r>
          </w:p>
        </w:tc>
        <w:tc>
          <w:tcPr>
            <w:tcW w:w="625" w:type="pct"/>
            <w:tcBorders>
              <w:top w:val="dotted" w:sz="4" w:space="0" w:color="auto"/>
              <w:left w:val="dotted" w:sz="4" w:space="0" w:color="auto"/>
              <w:bottom w:val="dotted" w:sz="4" w:space="0" w:color="auto"/>
              <w:right w:val="dotted" w:sz="4" w:space="0" w:color="auto"/>
            </w:tcBorders>
            <w:hideMark/>
          </w:tcPr>
          <w:p w14:paraId="39258438"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6F4E351A" w14:textId="77777777" w:rsidR="00CD7EFA" w:rsidRDefault="001D7A2B">
            <w:pPr>
              <w:jc w:val="right"/>
              <w:rPr>
                <w:rFonts w:ascii="Cambria" w:hAnsi="Cambria"/>
                <w:b/>
                <w:bCs/>
                <w:sz w:val="22"/>
                <w:szCs w:val="22"/>
              </w:rPr>
            </w:pPr>
            <w:r>
              <w:rPr>
                <w:rFonts w:asciiTheme="minorHAnsi" w:hAnsiTheme="minorHAnsi" w:cstheme="minorHAnsi"/>
              </w:rPr>
              <w:t>42 000</w:t>
            </w:r>
          </w:p>
        </w:tc>
      </w:tr>
      <w:tr w:rsidR="006D6F53" w14:paraId="7320673E"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1E11C897" w14:textId="295CE351" w:rsidR="00CD7EFA" w:rsidRDefault="001D7A2B" w:rsidP="00133B41">
            <w:pPr>
              <w:jc w:val="left"/>
              <w:rPr>
                <w:rFonts w:ascii="Cambria" w:hAnsi="Cambria"/>
                <w:b/>
                <w:bCs/>
                <w:sz w:val="22"/>
                <w:szCs w:val="22"/>
              </w:rPr>
            </w:pPr>
            <w:r>
              <w:rPr>
                <w:rFonts w:asciiTheme="minorHAnsi" w:hAnsiTheme="minorHAnsi" w:cstheme="minorHAnsi"/>
                <w:b/>
                <w:bCs/>
                <w:sz w:val="16"/>
                <w:szCs w:val="16"/>
              </w:rPr>
              <w:t>2.3</w:t>
            </w:r>
            <w:r>
              <w:rPr>
                <w:rFonts w:asciiTheme="minorHAnsi" w:hAnsiTheme="minorHAnsi" w:cstheme="minorHAnsi"/>
              </w:rPr>
              <w:t xml:space="preserve"> Långsiktig hållbarhet i nätverket</w:t>
            </w:r>
          </w:p>
        </w:tc>
        <w:tc>
          <w:tcPr>
            <w:tcW w:w="2777" w:type="pct"/>
            <w:tcBorders>
              <w:top w:val="dotted" w:sz="4" w:space="0" w:color="auto"/>
              <w:left w:val="dotted" w:sz="4" w:space="0" w:color="auto"/>
              <w:bottom w:val="dotted" w:sz="4" w:space="0" w:color="auto"/>
              <w:right w:val="dotted" w:sz="4" w:space="0" w:color="auto"/>
            </w:tcBorders>
            <w:hideMark/>
          </w:tcPr>
          <w:p w14:paraId="2B83695A" w14:textId="6C9A5B49" w:rsidR="006D6F53" w:rsidRDefault="000B1CFC" w:rsidP="00133B41">
            <w:pPr>
              <w:jc w:val="left"/>
              <w:rPr>
                <w:rFonts w:ascii="Cambria" w:hAnsi="Cambria"/>
                <w:b/>
                <w:bCs/>
                <w:sz w:val="22"/>
                <w:szCs w:val="22"/>
              </w:rPr>
            </w:pPr>
            <w:r>
              <w:rPr>
                <w:rFonts w:asciiTheme="minorHAnsi" w:hAnsiTheme="minorHAnsi" w:cstheme="minorHAnsi"/>
              </w:rPr>
              <w:t>P</w:t>
            </w:r>
            <w:r w:rsidR="001D7A2B">
              <w:rPr>
                <w:rFonts w:asciiTheme="minorHAnsi" w:hAnsiTheme="minorHAnsi" w:cstheme="minorHAnsi"/>
              </w:rPr>
              <w:t xml:space="preserve">lanering av nya forskningsansökningar, identifiering av kommersialiseringsvägar och etablering av pilotstudier i samarbete </w:t>
            </w:r>
            <w:r w:rsidR="001D7A2B">
              <w:rPr>
                <w:rFonts w:asciiTheme="minorHAnsi" w:hAnsiTheme="minorHAnsi" w:cstheme="minorHAnsi"/>
              </w:rPr>
              <w:lastRenderedPageBreak/>
              <w:t>med vården.</w:t>
            </w:r>
            <w:r>
              <w:rPr>
                <w:rFonts w:asciiTheme="minorHAnsi" w:hAnsiTheme="minorHAnsi"/>
              </w:rPr>
              <w:t xml:space="preserve"> </w:t>
            </w:r>
            <w:r w:rsidR="001D7A2B">
              <w:rPr>
                <w:rFonts w:asciiTheme="minorHAnsi" w:hAnsiTheme="minorHAnsi" w:cstheme="minorHAnsi"/>
              </w:rPr>
              <w:t>NTNU vil ha ansvar for å koble nettverket til eksisterende forskningssentre og nasjonale initiativer i Norge, mens Miun fokuserar på att integrera nätverket i svenska innovationsmiljöer. Industripartnerna Coala och CATE bidrar med kommersiellt perspektiv</w:t>
            </w:r>
            <w:r>
              <w:rPr>
                <w:rFonts w:asciiTheme="minorHAnsi" w:hAnsiTheme="minorHAnsi" w:cstheme="minorHAnsi"/>
              </w:rPr>
              <w:t>.</w:t>
            </w:r>
          </w:p>
        </w:tc>
        <w:tc>
          <w:tcPr>
            <w:tcW w:w="625" w:type="pct"/>
            <w:tcBorders>
              <w:top w:val="dotted" w:sz="4" w:space="0" w:color="auto"/>
              <w:left w:val="dotted" w:sz="4" w:space="0" w:color="auto"/>
              <w:bottom w:val="dotted" w:sz="4" w:space="0" w:color="auto"/>
              <w:right w:val="dotted" w:sz="4" w:space="0" w:color="auto"/>
            </w:tcBorders>
            <w:hideMark/>
          </w:tcPr>
          <w:p w14:paraId="6B6D7011" w14:textId="77777777" w:rsidR="00234BCF" w:rsidRPr="00234BCF" w:rsidRDefault="001D7A2B" w:rsidP="00CD7EFA">
            <w:pPr>
              <w:jc w:val="left"/>
              <w:rPr>
                <w:rFonts w:asciiTheme="minorHAnsi" w:hAnsiTheme="minorHAnsi" w:cstheme="minorHAnsi"/>
              </w:rPr>
            </w:pPr>
            <w:r>
              <w:rPr>
                <w:rFonts w:asciiTheme="minorHAnsi" w:hAnsiTheme="minorHAnsi" w:cstheme="minorHAnsi"/>
              </w:rPr>
              <w:lastRenderedPageBreak/>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60713C3A" w14:textId="77777777" w:rsidR="00CD7EFA" w:rsidRDefault="001D7A2B">
            <w:pPr>
              <w:jc w:val="right"/>
              <w:rPr>
                <w:rFonts w:ascii="Cambria" w:hAnsi="Cambria"/>
                <w:b/>
                <w:bCs/>
                <w:sz w:val="22"/>
                <w:szCs w:val="22"/>
              </w:rPr>
            </w:pPr>
            <w:r>
              <w:rPr>
                <w:rFonts w:asciiTheme="minorHAnsi" w:hAnsiTheme="minorHAnsi" w:cstheme="minorHAnsi"/>
              </w:rPr>
              <w:t>41 143</w:t>
            </w:r>
          </w:p>
        </w:tc>
      </w:tr>
      <w:tr w:rsidR="006D6F53" w14:paraId="774276C1"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3D259E20" w14:textId="2C83A0E7" w:rsidR="00CD7EFA" w:rsidRDefault="001D7A2B" w:rsidP="00133B41">
            <w:pPr>
              <w:jc w:val="left"/>
              <w:rPr>
                <w:rFonts w:ascii="Cambria" w:hAnsi="Cambria"/>
                <w:b/>
                <w:bCs/>
                <w:sz w:val="22"/>
                <w:szCs w:val="22"/>
              </w:rPr>
            </w:pPr>
            <w:r>
              <w:rPr>
                <w:rFonts w:asciiTheme="minorHAnsi" w:hAnsiTheme="minorHAnsi" w:cstheme="minorHAnsi"/>
                <w:b/>
                <w:bCs/>
                <w:sz w:val="16"/>
                <w:szCs w:val="16"/>
              </w:rPr>
              <w:t>3</w:t>
            </w:r>
            <w:r>
              <w:t xml:space="preserve"> </w:t>
            </w:r>
            <w:r>
              <w:rPr>
                <w:rFonts w:asciiTheme="minorHAnsi" w:hAnsiTheme="minorHAnsi" w:cstheme="minorHAnsi"/>
              </w:rPr>
              <w:t>Teknologiutveckling och AI-modeller</w:t>
            </w:r>
          </w:p>
        </w:tc>
        <w:tc>
          <w:tcPr>
            <w:tcW w:w="2777" w:type="pct"/>
            <w:tcBorders>
              <w:top w:val="dotted" w:sz="4" w:space="0" w:color="auto"/>
              <w:left w:val="dotted" w:sz="4" w:space="0" w:color="auto"/>
              <w:bottom w:val="dotted" w:sz="4" w:space="0" w:color="auto"/>
              <w:right w:val="dotted" w:sz="4" w:space="0" w:color="auto"/>
            </w:tcBorders>
            <w:hideMark/>
          </w:tcPr>
          <w:p w14:paraId="6F4A685C" w14:textId="45DBCC0E" w:rsidR="006D6F53" w:rsidRDefault="001D7A2B" w:rsidP="00133B41">
            <w:pPr>
              <w:jc w:val="left"/>
              <w:rPr>
                <w:rFonts w:ascii="Cambria" w:hAnsi="Cambria"/>
                <w:b/>
                <w:bCs/>
                <w:sz w:val="22"/>
                <w:szCs w:val="22"/>
              </w:rPr>
            </w:pPr>
            <w:r>
              <w:rPr>
                <w:rFonts w:asciiTheme="minorHAnsi" w:hAnsiTheme="minorHAnsi" w:cstheme="minorHAnsi"/>
              </w:rPr>
              <w:t xml:space="preserve">Arbetet omfattar insamling och förbehandling av signaler, utveckling av AI-modeller för sensorfusion, integration av algoritmer i prototyper och kunskapsutbyte mellan de två tillämpningsfallen. </w:t>
            </w:r>
          </w:p>
        </w:tc>
        <w:tc>
          <w:tcPr>
            <w:tcW w:w="625" w:type="pct"/>
            <w:tcBorders>
              <w:top w:val="dotted" w:sz="4" w:space="0" w:color="auto"/>
              <w:left w:val="dotted" w:sz="4" w:space="0" w:color="auto"/>
              <w:bottom w:val="dotted" w:sz="4" w:space="0" w:color="auto"/>
              <w:right w:val="dotted" w:sz="4" w:space="0" w:color="auto"/>
            </w:tcBorders>
            <w:hideMark/>
          </w:tcPr>
          <w:p w14:paraId="14928052"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2026-07-01</w:t>
            </w:r>
            <w:r w:rsidRPr="008D0BCE">
              <w:rPr>
                <w:rFonts w:asciiTheme="minorHAnsi" w:hAnsiTheme="minorHAnsi" w:cstheme="minorHAnsi"/>
              </w:rPr>
              <w:t xml:space="preserve"> - </w:t>
            </w:r>
            <w:r>
              <w:rPr>
                <w:rFonts w:asciiTheme="minorHAnsi" w:hAnsiTheme="minorHAnsi" w:cstheme="minorHAnsi"/>
              </w:rPr>
              <w:t>2027-12-31</w:t>
            </w:r>
          </w:p>
        </w:tc>
        <w:tc>
          <w:tcPr>
            <w:tcW w:w="486" w:type="pct"/>
            <w:tcBorders>
              <w:top w:val="dotted" w:sz="4" w:space="0" w:color="auto"/>
              <w:left w:val="dotted" w:sz="4" w:space="0" w:color="auto"/>
              <w:bottom w:val="dotted" w:sz="4" w:space="0" w:color="auto"/>
              <w:right w:val="dotted" w:sz="4" w:space="0" w:color="auto"/>
            </w:tcBorders>
            <w:hideMark/>
          </w:tcPr>
          <w:p w14:paraId="535176AC" w14:textId="77777777" w:rsidR="00CD7EFA" w:rsidRDefault="00CD7EFA">
            <w:pPr>
              <w:jc w:val="right"/>
              <w:rPr>
                <w:rFonts w:ascii="Cambria" w:hAnsi="Cambria"/>
                <w:b/>
                <w:bCs/>
                <w:sz w:val="22"/>
                <w:szCs w:val="22"/>
              </w:rPr>
            </w:pPr>
          </w:p>
        </w:tc>
      </w:tr>
      <w:tr w:rsidR="006D6F53" w14:paraId="1484D61F"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4BD2B4E3" w14:textId="3AFA095C" w:rsidR="00CD7EFA" w:rsidRDefault="001D7A2B" w:rsidP="00CD7EFA">
            <w:pPr>
              <w:jc w:val="left"/>
              <w:rPr>
                <w:rFonts w:ascii="Cambria" w:hAnsi="Cambria"/>
                <w:b/>
                <w:bCs/>
                <w:sz w:val="22"/>
                <w:szCs w:val="22"/>
              </w:rPr>
            </w:pPr>
            <w:r>
              <w:rPr>
                <w:rFonts w:asciiTheme="minorHAnsi" w:hAnsiTheme="minorHAnsi" w:cstheme="minorHAnsi"/>
                <w:b/>
                <w:bCs/>
                <w:sz w:val="16"/>
                <w:szCs w:val="16"/>
              </w:rPr>
              <w:t>3.1</w:t>
            </w:r>
            <w:r>
              <w:t xml:space="preserve"> </w:t>
            </w:r>
            <w:r>
              <w:rPr>
                <w:rFonts w:asciiTheme="minorHAnsi" w:hAnsiTheme="minorHAnsi" w:cstheme="minorHAnsi"/>
              </w:rPr>
              <w:t>Signalinsamling och förbehandling</w:t>
            </w:r>
          </w:p>
        </w:tc>
        <w:tc>
          <w:tcPr>
            <w:tcW w:w="2777" w:type="pct"/>
            <w:tcBorders>
              <w:top w:val="dotted" w:sz="4" w:space="0" w:color="auto"/>
              <w:left w:val="dotted" w:sz="4" w:space="0" w:color="auto"/>
              <w:bottom w:val="dotted" w:sz="4" w:space="0" w:color="auto"/>
              <w:right w:val="dotted" w:sz="4" w:space="0" w:color="auto"/>
            </w:tcBorders>
            <w:hideMark/>
          </w:tcPr>
          <w:p w14:paraId="6D723C28" w14:textId="77777777" w:rsidR="00CD7EFA" w:rsidRDefault="001D7A2B" w:rsidP="00CD7EFA">
            <w:pPr>
              <w:jc w:val="left"/>
              <w:rPr>
                <w:rFonts w:ascii="Cambria" w:hAnsi="Cambria"/>
                <w:b/>
                <w:bCs/>
                <w:sz w:val="22"/>
                <w:szCs w:val="22"/>
              </w:rPr>
            </w:pPr>
            <w:r>
              <w:rPr>
                <w:rFonts w:asciiTheme="minorHAnsi" w:hAnsiTheme="minorHAnsi" w:cstheme="minorHAnsi"/>
              </w:rPr>
              <w:t>Insamling av multimodala signaler (hjärtljud, EKG, NIRS, EEG) sker i både kliniska och kontrollerade miljöer. Data synkroniseras och lagras i gemensamma format för att säkerställa jämförbarhet. Preprocessing omfattar filtrering av brus, synkronisering av signaler samt identifiering och borttagning av artefakter.</w:t>
            </w:r>
          </w:p>
          <w:p w14:paraId="527AC69D" w14:textId="4618729F" w:rsidR="006D6F53" w:rsidRDefault="001D7A2B">
            <w:pPr>
              <w:jc w:val="left"/>
              <w:rPr>
                <w:rFonts w:ascii="Cambria" w:hAnsi="Cambria"/>
                <w:b/>
                <w:bCs/>
                <w:sz w:val="22"/>
                <w:szCs w:val="22"/>
              </w:rPr>
            </w:pPr>
            <w:r>
              <w:rPr>
                <w:rFonts w:asciiTheme="minorHAnsi" w:hAnsiTheme="minorHAnsi" w:cstheme="minorHAnsi"/>
              </w:rPr>
              <w:t xml:space="preserve">NTNU har särskild kompetens på EEG/NIRS och leder utvecklingen av algoritmer för att hantera rörelse- och behandlingsrelaterade artefakter. Coala Solutions samlar in hjärtdata via sin plattform och säkerställer hög kvalitet i mätningar från primärvård och användare. </w:t>
            </w:r>
          </w:p>
        </w:tc>
        <w:tc>
          <w:tcPr>
            <w:tcW w:w="625" w:type="pct"/>
            <w:tcBorders>
              <w:top w:val="dotted" w:sz="4" w:space="0" w:color="auto"/>
              <w:left w:val="dotted" w:sz="4" w:space="0" w:color="auto"/>
              <w:bottom w:val="dotted" w:sz="4" w:space="0" w:color="auto"/>
              <w:right w:val="dotted" w:sz="4" w:space="0" w:color="auto"/>
            </w:tcBorders>
            <w:hideMark/>
          </w:tcPr>
          <w:p w14:paraId="4B224715"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2026-07-01</w:t>
            </w:r>
            <w:r w:rsidRPr="008D0BCE">
              <w:rPr>
                <w:rFonts w:asciiTheme="minorHAnsi" w:hAnsiTheme="minorHAnsi" w:cstheme="minorHAnsi"/>
              </w:rPr>
              <w:t xml:space="preserve"> - </w:t>
            </w:r>
            <w:r>
              <w:rPr>
                <w:rFonts w:asciiTheme="minorHAnsi" w:hAnsiTheme="minorHAnsi" w:cstheme="minorHAnsi"/>
              </w:rPr>
              <w:t>2027-12-31</w:t>
            </w:r>
          </w:p>
        </w:tc>
        <w:tc>
          <w:tcPr>
            <w:tcW w:w="486" w:type="pct"/>
            <w:tcBorders>
              <w:top w:val="dotted" w:sz="4" w:space="0" w:color="auto"/>
              <w:left w:val="dotted" w:sz="4" w:space="0" w:color="auto"/>
              <w:bottom w:val="dotted" w:sz="4" w:space="0" w:color="auto"/>
              <w:right w:val="dotted" w:sz="4" w:space="0" w:color="auto"/>
            </w:tcBorders>
            <w:hideMark/>
          </w:tcPr>
          <w:p w14:paraId="7D0DC67E" w14:textId="77777777" w:rsidR="00CD7EFA" w:rsidRDefault="001D7A2B">
            <w:pPr>
              <w:jc w:val="right"/>
              <w:rPr>
                <w:rFonts w:ascii="Cambria" w:hAnsi="Cambria"/>
                <w:b/>
                <w:bCs/>
                <w:sz w:val="22"/>
                <w:szCs w:val="22"/>
              </w:rPr>
            </w:pPr>
            <w:r>
              <w:rPr>
                <w:rFonts w:asciiTheme="minorHAnsi" w:hAnsiTheme="minorHAnsi" w:cstheme="minorHAnsi"/>
              </w:rPr>
              <w:t>88 000</w:t>
            </w:r>
          </w:p>
        </w:tc>
      </w:tr>
      <w:tr w:rsidR="006D6F53" w14:paraId="0FB4473C"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471730F6" w14:textId="7599FC90" w:rsidR="00CD7EFA" w:rsidRDefault="001D7A2B" w:rsidP="00CD7EFA">
            <w:pPr>
              <w:jc w:val="left"/>
              <w:rPr>
                <w:rFonts w:ascii="Cambria" w:hAnsi="Cambria"/>
                <w:b/>
                <w:bCs/>
                <w:sz w:val="22"/>
                <w:szCs w:val="22"/>
              </w:rPr>
            </w:pPr>
            <w:r>
              <w:rPr>
                <w:rFonts w:asciiTheme="minorHAnsi" w:hAnsiTheme="minorHAnsi" w:cstheme="minorHAnsi"/>
                <w:b/>
                <w:bCs/>
                <w:sz w:val="16"/>
                <w:szCs w:val="16"/>
              </w:rPr>
              <w:t>3.2</w:t>
            </w:r>
            <w:r>
              <w:t xml:space="preserve"> </w:t>
            </w:r>
            <w:r>
              <w:rPr>
                <w:rFonts w:asciiTheme="minorHAnsi" w:hAnsiTheme="minorHAnsi" w:cstheme="minorHAnsi"/>
              </w:rPr>
              <w:t>AI-modellutveckling och sensorfusion</w:t>
            </w:r>
          </w:p>
        </w:tc>
        <w:tc>
          <w:tcPr>
            <w:tcW w:w="2777" w:type="pct"/>
            <w:tcBorders>
              <w:top w:val="dotted" w:sz="4" w:space="0" w:color="auto"/>
              <w:left w:val="dotted" w:sz="4" w:space="0" w:color="auto"/>
              <w:bottom w:val="dotted" w:sz="4" w:space="0" w:color="auto"/>
              <w:right w:val="dotted" w:sz="4" w:space="0" w:color="auto"/>
            </w:tcBorders>
            <w:hideMark/>
          </w:tcPr>
          <w:p w14:paraId="5FBE3511" w14:textId="0FF2127E" w:rsidR="00CD7EFA" w:rsidRDefault="001D7A2B" w:rsidP="00CD7EFA">
            <w:pPr>
              <w:jc w:val="left"/>
              <w:rPr>
                <w:rFonts w:ascii="Cambria" w:hAnsi="Cambria"/>
                <w:b/>
                <w:bCs/>
                <w:sz w:val="22"/>
                <w:szCs w:val="22"/>
              </w:rPr>
            </w:pPr>
            <w:r>
              <w:rPr>
                <w:rFonts w:asciiTheme="minorHAnsi" w:hAnsiTheme="minorHAnsi" w:cstheme="minorHAnsi"/>
              </w:rPr>
              <w:t>Mittuniversitetet utvecklar och testar AI-modeller som kombinerar flera signaltyper. Fokus ligger på olika fusionsstrategier tidig fusion (på rådata), intermediär fusion (på extraherade features) och sen fusion (på beslutsnivå). Modellerna optimeras för att ge hög noggrannhet men också för att vara tolkningsbara för kliniker.</w:t>
            </w:r>
          </w:p>
          <w:p w14:paraId="1F06B601" w14:textId="77777777" w:rsidR="006D6F53" w:rsidRDefault="001D7A2B">
            <w:pPr>
              <w:jc w:val="left"/>
              <w:rPr>
                <w:rFonts w:ascii="Cambria" w:hAnsi="Cambria"/>
                <w:b/>
                <w:bCs/>
                <w:sz w:val="22"/>
                <w:szCs w:val="22"/>
              </w:rPr>
            </w:pPr>
            <w:r>
              <w:rPr>
                <w:rFonts w:asciiTheme="minorHAnsi" w:hAnsiTheme="minorHAnsi" w:cstheme="minorHAnsi"/>
              </w:rPr>
              <w:t>Resultatet av aktiviteten blir en uppsättning validerade algoritmer som demonstrerar hur multimodal AI kan förbättra diagnostik både för hjärt- och hjärnmonitorering. NTNU bidrar genom att testa modellernas robusthet på hjärndata, vilket gör det möjligt att bedöma generaliserbarhet och säkerställa att metoderna kan användas på flera typer av signaler.</w:t>
            </w:r>
          </w:p>
        </w:tc>
        <w:tc>
          <w:tcPr>
            <w:tcW w:w="625" w:type="pct"/>
            <w:tcBorders>
              <w:top w:val="dotted" w:sz="4" w:space="0" w:color="auto"/>
              <w:left w:val="dotted" w:sz="4" w:space="0" w:color="auto"/>
              <w:bottom w:val="dotted" w:sz="4" w:space="0" w:color="auto"/>
              <w:right w:val="dotted" w:sz="4" w:space="0" w:color="auto"/>
            </w:tcBorders>
            <w:hideMark/>
          </w:tcPr>
          <w:p w14:paraId="5F80FC42"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2026-07-01</w:t>
            </w:r>
            <w:r w:rsidRPr="008D0BCE">
              <w:rPr>
                <w:rFonts w:asciiTheme="minorHAnsi" w:hAnsiTheme="minorHAnsi" w:cstheme="minorHAnsi"/>
              </w:rPr>
              <w:t xml:space="preserve"> - </w:t>
            </w:r>
            <w:r>
              <w:rPr>
                <w:rFonts w:asciiTheme="minorHAnsi" w:hAnsiTheme="minorHAnsi" w:cstheme="minorHAnsi"/>
              </w:rPr>
              <w:t>2027-12-31</w:t>
            </w:r>
          </w:p>
        </w:tc>
        <w:tc>
          <w:tcPr>
            <w:tcW w:w="486" w:type="pct"/>
            <w:tcBorders>
              <w:top w:val="dotted" w:sz="4" w:space="0" w:color="auto"/>
              <w:left w:val="dotted" w:sz="4" w:space="0" w:color="auto"/>
              <w:bottom w:val="dotted" w:sz="4" w:space="0" w:color="auto"/>
              <w:right w:val="dotted" w:sz="4" w:space="0" w:color="auto"/>
            </w:tcBorders>
            <w:hideMark/>
          </w:tcPr>
          <w:p w14:paraId="725A5D25" w14:textId="77777777" w:rsidR="00CD7EFA" w:rsidRDefault="001D7A2B">
            <w:pPr>
              <w:jc w:val="right"/>
              <w:rPr>
                <w:rFonts w:ascii="Cambria" w:hAnsi="Cambria"/>
                <w:b/>
                <w:bCs/>
                <w:sz w:val="22"/>
                <w:szCs w:val="22"/>
              </w:rPr>
            </w:pPr>
            <w:r>
              <w:rPr>
                <w:rFonts w:asciiTheme="minorHAnsi" w:hAnsiTheme="minorHAnsi" w:cstheme="minorHAnsi"/>
              </w:rPr>
              <w:t>108 000</w:t>
            </w:r>
          </w:p>
        </w:tc>
      </w:tr>
      <w:tr w:rsidR="006D6F53" w14:paraId="1F6C00B7"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121D86C4" w14:textId="4067C3C8" w:rsidR="00CD7EFA" w:rsidRDefault="001D7A2B" w:rsidP="00CD7EFA">
            <w:pPr>
              <w:jc w:val="left"/>
              <w:rPr>
                <w:rFonts w:ascii="Cambria" w:hAnsi="Cambria"/>
                <w:b/>
                <w:bCs/>
                <w:sz w:val="22"/>
                <w:szCs w:val="22"/>
              </w:rPr>
            </w:pPr>
            <w:r>
              <w:rPr>
                <w:rFonts w:asciiTheme="minorHAnsi" w:hAnsiTheme="minorHAnsi" w:cstheme="minorHAnsi"/>
                <w:b/>
                <w:bCs/>
                <w:sz w:val="16"/>
                <w:szCs w:val="16"/>
              </w:rPr>
              <w:t>3.3</w:t>
            </w:r>
            <w:r>
              <w:t xml:space="preserve"> </w:t>
            </w:r>
            <w:r>
              <w:rPr>
                <w:rFonts w:asciiTheme="minorHAnsi" w:hAnsiTheme="minorHAnsi" w:cstheme="minorHAnsi"/>
              </w:rPr>
              <w:t>Prototypintegration</w:t>
            </w:r>
          </w:p>
        </w:tc>
        <w:tc>
          <w:tcPr>
            <w:tcW w:w="2777" w:type="pct"/>
            <w:tcBorders>
              <w:top w:val="dotted" w:sz="4" w:space="0" w:color="auto"/>
              <w:left w:val="dotted" w:sz="4" w:space="0" w:color="auto"/>
              <w:bottom w:val="dotted" w:sz="4" w:space="0" w:color="auto"/>
              <w:right w:val="dotted" w:sz="4" w:space="0" w:color="auto"/>
            </w:tcBorders>
            <w:hideMark/>
          </w:tcPr>
          <w:p w14:paraId="11C7C900" w14:textId="77777777" w:rsidR="00CD7EFA" w:rsidRDefault="001D7A2B" w:rsidP="00CD7EFA">
            <w:pPr>
              <w:jc w:val="left"/>
              <w:rPr>
                <w:rFonts w:ascii="Cambria" w:hAnsi="Cambria"/>
                <w:b/>
                <w:bCs/>
                <w:sz w:val="22"/>
                <w:szCs w:val="22"/>
              </w:rPr>
            </w:pPr>
            <w:r>
              <w:rPr>
                <w:rFonts w:asciiTheme="minorHAnsi" w:hAnsiTheme="minorHAnsi" w:cstheme="minorHAnsi"/>
              </w:rPr>
              <w:t>Algoritmer och modeller som utvecklas i projektet integreras i partnerföretagens prototyper. Coala Solutions arbetar med integration i sitt trådlösa stetoskop, inklusive gränssnitt för visualisering och beslutsstöd. CATE Medical Devices implementerer algoritmer i Oxycate-systemet, og tester samspill mellom maskinvare og programvare.</w:t>
            </w:r>
          </w:p>
          <w:p w14:paraId="3876B687" w14:textId="77777777" w:rsidR="006D6F53" w:rsidRDefault="001D7A2B">
            <w:pPr>
              <w:jc w:val="left"/>
              <w:rPr>
                <w:rFonts w:ascii="Cambria" w:hAnsi="Cambria"/>
                <w:b/>
                <w:bCs/>
                <w:sz w:val="22"/>
                <w:szCs w:val="22"/>
              </w:rPr>
            </w:pPr>
            <w:r>
              <w:rPr>
                <w:rFonts w:asciiTheme="minorHAnsi" w:hAnsiTheme="minorHAnsi" w:cstheme="minorHAnsi"/>
              </w:rPr>
              <w:t>Integration omfattar också tester av användarvänlighet, interoperabilitet med vårdens IT-system och prestanda i realistiska miljöer. Aktiviteten resulterar i prototyper som är redo att utvärderas kliniskt i WP4.</w:t>
            </w:r>
          </w:p>
        </w:tc>
        <w:tc>
          <w:tcPr>
            <w:tcW w:w="625" w:type="pct"/>
            <w:tcBorders>
              <w:top w:val="dotted" w:sz="4" w:space="0" w:color="auto"/>
              <w:left w:val="dotted" w:sz="4" w:space="0" w:color="auto"/>
              <w:bottom w:val="dotted" w:sz="4" w:space="0" w:color="auto"/>
              <w:right w:val="dotted" w:sz="4" w:space="0" w:color="auto"/>
            </w:tcBorders>
            <w:hideMark/>
          </w:tcPr>
          <w:p w14:paraId="3D45355B"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2026-07-01</w:t>
            </w:r>
            <w:r w:rsidRPr="008D0BCE">
              <w:rPr>
                <w:rFonts w:asciiTheme="minorHAnsi" w:hAnsiTheme="minorHAnsi" w:cstheme="minorHAnsi"/>
              </w:rPr>
              <w:t xml:space="preserve"> - </w:t>
            </w:r>
            <w:r>
              <w:rPr>
                <w:rFonts w:asciiTheme="minorHAnsi" w:hAnsiTheme="minorHAnsi" w:cstheme="minorHAnsi"/>
              </w:rPr>
              <w:t>2027-12-31</w:t>
            </w:r>
          </w:p>
        </w:tc>
        <w:tc>
          <w:tcPr>
            <w:tcW w:w="486" w:type="pct"/>
            <w:tcBorders>
              <w:top w:val="dotted" w:sz="4" w:space="0" w:color="auto"/>
              <w:left w:val="dotted" w:sz="4" w:space="0" w:color="auto"/>
              <w:bottom w:val="dotted" w:sz="4" w:space="0" w:color="auto"/>
              <w:right w:val="dotted" w:sz="4" w:space="0" w:color="auto"/>
            </w:tcBorders>
            <w:hideMark/>
          </w:tcPr>
          <w:p w14:paraId="231CB582" w14:textId="77777777" w:rsidR="00CD7EFA" w:rsidRDefault="001D7A2B">
            <w:pPr>
              <w:jc w:val="right"/>
              <w:rPr>
                <w:rFonts w:ascii="Cambria" w:hAnsi="Cambria"/>
                <w:b/>
                <w:bCs/>
                <w:sz w:val="22"/>
                <w:szCs w:val="22"/>
              </w:rPr>
            </w:pPr>
            <w:r>
              <w:rPr>
                <w:rFonts w:asciiTheme="minorHAnsi" w:hAnsiTheme="minorHAnsi" w:cstheme="minorHAnsi"/>
              </w:rPr>
              <w:t>86 000</w:t>
            </w:r>
          </w:p>
        </w:tc>
      </w:tr>
      <w:tr w:rsidR="006D6F53" w14:paraId="0C0A13E4"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0D6420B5" w14:textId="3A229804" w:rsidR="00CD7EFA" w:rsidRDefault="001D7A2B" w:rsidP="00CD7EFA">
            <w:pPr>
              <w:jc w:val="left"/>
              <w:rPr>
                <w:rFonts w:ascii="Cambria" w:hAnsi="Cambria"/>
                <w:b/>
                <w:bCs/>
                <w:sz w:val="22"/>
                <w:szCs w:val="22"/>
              </w:rPr>
            </w:pPr>
            <w:r>
              <w:rPr>
                <w:rFonts w:asciiTheme="minorHAnsi" w:hAnsiTheme="minorHAnsi" w:cstheme="minorHAnsi"/>
                <w:b/>
                <w:bCs/>
                <w:sz w:val="16"/>
                <w:szCs w:val="16"/>
              </w:rPr>
              <w:t>3.4</w:t>
            </w:r>
            <w:r>
              <w:t xml:space="preserve"> </w:t>
            </w:r>
            <w:r>
              <w:rPr>
                <w:rFonts w:asciiTheme="minorHAnsi" w:hAnsiTheme="minorHAnsi" w:cstheme="minorHAnsi"/>
              </w:rPr>
              <w:t>Cross-learning och kunskapsöverföring</w:t>
            </w:r>
          </w:p>
        </w:tc>
        <w:tc>
          <w:tcPr>
            <w:tcW w:w="2777" w:type="pct"/>
            <w:tcBorders>
              <w:top w:val="dotted" w:sz="4" w:space="0" w:color="auto"/>
              <w:left w:val="dotted" w:sz="4" w:space="0" w:color="auto"/>
              <w:bottom w:val="dotted" w:sz="4" w:space="0" w:color="auto"/>
              <w:right w:val="dotted" w:sz="4" w:space="0" w:color="auto"/>
            </w:tcBorders>
            <w:hideMark/>
          </w:tcPr>
          <w:p w14:paraId="3494A825" w14:textId="59CC3429" w:rsidR="006D6F53" w:rsidRDefault="001D7A2B">
            <w:pPr>
              <w:jc w:val="left"/>
              <w:rPr>
                <w:rFonts w:ascii="Cambria" w:hAnsi="Cambria"/>
                <w:b/>
                <w:bCs/>
                <w:sz w:val="22"/>
                <w:szCs w:val="22"/>
              </w:rPr>
            </w:pPr>
            <w:r>
              <w:rPr>
                <w:rFonts w:asciiTheme="minorHAnsi" w:hAnsiTheme="minorHAnsi" w:cstheme="minorHAnsi"/>
              </w:rPr>
              <w:t>Denna aktivitet säkerställer att erfarenheter från båda fallen delas systematiskt. AI-modeller utvecklade för hjärtsignaler testas på hjärndata, och metoder för artefakthantering från EEG/NIRS används på hjärtsignaler. Resultaten jämförs och dokumenteras i gemensamma rapporter.</w:t>
            </w:r>
            <w:r w:rsidR="00142BC1">
              <w:rPr>
                <w:rFonts w:asciiTheme="minorHAnsi" w:hAnsiTheme="minorHAnsi"/>
              </w:rPr>
              <w:t xml:space="preserve"> </w:t>
            </w:r>
            <w:r>
              <w:rPr>
                <w:rFonts w:asciiTheme="minorHAnsi" w:hAnsiTheme="minorHAnsi" w:cstheme="minorHAnsi"/>
              </w:rPr>
              <w:t>Aktiviteten organiserar också interna seminarier och gemensamma kodgranskningar. Dette legger til rette for metodisk læring på tvers, og styrker begge plattformene. På detta sätt skapas synergier som gör att utvecklingen går snabbare och resultaten blir mer robusta än om varje spår hade utvecklats separat.</w:t>
            </w:r>
          </w:p>
        </w:tc>
        <w:tc>
          <w:tcPr>
            <w:tcW w:w="625" w:type="pct"/>
            <w:tcBorders>
              <w:top w:val="dotted" w:sz="4" w:space="0" w:color="auto"/>
              <w:left w:val="dotted" w:sz="4" w:space="0" w:color="auto"/>
              <w:bottom w:val="dotted" w:sz="4" w:space="0" w:color="auto"/>
              <w:right w:val="dotted" w:sz="4" w:space="0" w:color="auto"/>
            </w:tcBorders>
            <w:hideMark/>
          </w:tcPr>
          <w:p w14:paraId="4603656A"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2026-07-01</w:t>
            </w:r>
            <w:r w:rsidRPr="008D0BCE">
              <w:rPr>
                <w:rFonts w:asciiTheme="minorHAnsi" w:hAnsiTheme="minorHAnsi" w:cstheme="minorHAnsi"/>
              </w:rPr>
              <w:t xml:space="preserve"> - </w:t>
            </w:r>
            <w:r>
              <w:rPr>
                <w:rFonts w:asciiTheme="minorHAnsi" w:hAnsiTheme="minorHAnsi" w:cstheme="minorHAnsi"/>
              </w:rPr>
              <w:t>2027-12-31</w:t>
            </w:r>
          </w:p>
        </w:tc>
        <w:tc>
          <w:tcPr>
            <w:tcW w:w="486" w:type="pct"/>
            <w:tcBorders>
              <w:top w:val="dotted" w:sz="4" w:space="0" w:color="auto"/>
              <w:left w:val="dotted" w:sz="4" w:space="0" w:color="auto"/>
              <w:bottom w:val="dotted" w:sz="4" w:space="0" w:color="auto"/>
              <w:right w:val="dotted" w:sz="4" w:space="0" w:color="auto"/>
            </w:tcBorders>
            <w:hideMark/>
          </w:tcPr>
          <w:p w14:paraId="0B566269" w14:textId="77777777" w:rsidR="00CD7EFA" w:rsidRDefault="001D7A2B">
            <w:pPr>
              <w:jc w:val="right"/>
              <w:rPr>
                <w:rFonts w:ascii="Cambria" w:hAnsi="Cambria"/>
                <w:b/>
                <w:bCs/>
                <w:sz w:val="22"/>
                <w:szCs w:val="22"/>
              </w:rPr>
            </w:pPr>
            <w:r>
              <w:rPr>
                <w:rFonts w:asciiTheme="minorHAnsi" w:hAnsiTheme="minorHAnsi" w:cstheme="minorHAnsi"/>
              </w:rPr>
              <w:t>80 083</w:t>
            </w:r>
          </w:p>
        </w:tc>
      </w:tr>
      <w:tr w:rsidR="006D6F53" w14:paraId="07340862"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79A9B8B6" w14:textId="0D1EB373" w:rsidR="00CD7EFA" w:rsidRDefault="001D7A2B" w:rsidP="00CD7EFA">
            <w:pPr>
              <w:jc w:val="left"/>
              <w:rPr>
                <w:rFonts w:ascii="Cambria" w:hAnsi="Cambria"/>
                <w:b/>
                <w:bCs/>
                <w:sz w:val="22"/>
                <w:szCs w:val="22"/>
              </w:rPr>
            </w:pPr>
            <w:r>
              <w:rPr>
                <w:rFonts w:asciiTheme="minorHAnsi" w:hAnsiTheme="minorHAnsi" w:cstheme="minorHAnsi"/>
                <w:b/>
                <w:bCs/>
                <w:sz w:val="16"/>
                <w:szCs w:val="16"/>
              </w:rPr>
              <w:t>4</w:t>
            </w:r>
            <w:r>
              <w:t xml:space="preserve"> </w:t>
            </w:r>
            <w:r>
              <w:rPr>
                <w:rFonts w:asciiTheme="minorHAnsi" w:hAnsiTheme="minorHAnsi" w:cstheme="minorHAnsi"/>
              </w:rPr>
              <w:t>Klinisk validering och datainsamling</w:t>
            </w:r>
          </w:p>
        </w:tc>
        <w:tc>
          <w:tcPr>
            <w:tcW w:w="2777" w:type="pct"/>
            <w:tcBorders>
              <w:top w:val="dotted" w:sz="4" w:space="0" w:color="auto"/>
              <w:left w:val="dotted" w:sz="4" w:space="0" w:color="auto"/>
              <w:bottom w:val="dotted" w:sz="4" w:space="0" w:color="auto"/>
              <w:right w:val="dotted" w:sz="4" w:space="0" w:color="auto"/>
            </w:tcBorders>
            <w:hideMark/>
          </w:tcPr>
          <w:p w14:paraId="7F2028BB" w14:textId="09F9E117" w:rsidR="00CD7EFA" w:rsidRDefault="001D7A2B" w:rsidP="00CD7EFA">
            <w:pPr>
              <w:jc w:val="left"/>
              <w:rPr>
                <w:rFonts w:ascii="Cambria" w:hAnsi="Cambria"/>
                <w:b/>
                <w:bCs/>
                <w:sz w:val="22"/>
                <w:szCs w:val="22"/>
              </w:rPr>
            </w:pPr>
            <w:r>
              <w:rPr>
                <w:rFonts w:asciiTheme="minorHAnsi" w:hAnsiTheme="minorHAnsi" w:cstheme="minorHAnsi"/>
              </w:rPr>
              <w:t xml:space="preserve">Syftet är att samla in, annotera och analysera data från verkliga patienter, samt att validera de prototyper och AI-modeller som utvecklas i WP3. NTNU leder arbetet i nära samarbete med St. Olavs hospital och andra vårdaktörer i Norge. Mittuniversitetet </w:t>
            </w:r>
            <w:r>
              <w:rPr>
                <w:rFonts w:asciiTheme="minorHAnsi" w:hAnsiTheme="minorHAnsi" w:cstheme="minorHAnsi"/>
              </w:rPr>
              <w:lastRenderedPageBreak/>
              <w:t>ansvarar tillsammans med Coala Solutions för insamling och analys av hjärtdata i Sverige.</w:t>
            </w:r>
          </w:p>
          <w:p w14:paraId="0FC78FA3" w14:textId="77777777" w:rsidR="006D6F53" w:rsidRDefault="001D7A2B">
            <w:pPr>
              <w:jc w:val="left"/>
              <w:rPr>
                <w:rFonts w:ascii="Cambria" w:hAnsi="Cambria"/>
                <w:b/>
                <w:bCs/>
                <w:sz w:val="22"/>
                <w:szCs w:val="22"/>
              </w:rPr>
            </w:pPr>
            <w:r>
              <w:rPr>
                <w:rFonts w:asciiTheme="minorHAnsi" w:hAnsiTheme="minorHAnsi" w:cstheme="minorHAnsi"/>
              </w:rPr>
              <w:t>Datainsamlingen sker systematiskt och inkluderar klinisk kontext, utfall och expertbedömningar. Detta säkerställer att AI-modeller kan tränas och testas på högkvalitativa dataset. Valideringen omfattar både teknisk prestanda (noggrannhet, robusthet) och praktiska aspekter (användarvänlighet, integration i vårdflöden). Ett särskilt fokus ligger på att skapa synergi mellan de två fallen, där metodik från det ena området prövas på det andra.</w:t>
            </w:r>
          </w:p>
        </w:tc>
        <w:tc>
          <w:tcPr>
            <w:tcW w:w="625" w:type="pct"/>
            <w:tcBorders>
              <w:top w:val="dotted" w:sz="4" w:space="0" w:color="auto"/>
              <w:left w:val="dotted" w:sz="4" w:space="0" w:color="auto"/>
              <w:bottom w:val="dotted" w:sz="4" w:space="0" w:color="auto"/>
              <w:right w:val="dotted" w:sz="4" w:space="0" w:color="auto"/>
            </w:tcBorders>
            <w:hideMark/>
          </w:tcPr>
          <w:p w14:paraId="75DE23DF" w14:textId="77777777" w:rsidR="00234BCF" w:rsidRPr="00234BCF" w:rsidRDefault="001D7A2B" w:rsidP="00CD7EFA">
            <w:pPr>
              <w:jc w:val="left"/>
              <w:rPr>
                <w:rFonts w:asciiTheme="minorHAnsi" w:hAnsiTheme="minorHAnsi" w:cstheme="minorHAnsi"/>
              </w:rPr>
            </w:pPr>
            <w:r>
              <w:rPr>
                <w:rFonts w:asciiTheme="minorHAnsi" w:hAnsiTheme="minorHAnsi" w:cstheme="minorHAnsi"/>
              </w:rPr>
              <w:lastRenderedPageBreak/>
              <w:t>2027-01-01</w:t>
            </w:r>
            <w:r w:rsidRPr="008D0BCE">
              <w:rPr>
                <w:rFonts w:asciiTheme="minorHAnsi" w:hAnsiTheme="minorHAnsi" w:cstheme="minorHAnsi"/>
              </w:rPr>
              <w:t xml:space="preserve"> - </w:t>
            </w:r>
            <w:r>
              <w:rPr>
                <w:rFonts w:asciiTheme="minorHAnsi" w:hAnsiTheme="minorHAnsi" w:cstheme="minorHAnsi"/>
              </w:rPr>
              <w:t>2028-12-31</w:t>
            </w:r>
          </w:p>
        </w:tc>
        <w:tc>
          <w:tcPr>
            <w:tcW w:w="486" w:type="pct"/>
            <w:tcBorders>
              <w:top w:val="dotted" w:sz="4" w:space="0" w:color="auto"/>
              <w:left w:val="dotted" w:sz="4" w:space="0" w:color="auto"/>
              <w:bottom w:val="dotted" w:sz="4" w:space="0" w:color="auto"/>
              <w:right w:val="dotted" w:sz="4" w:space="0" w:color="auto"/>
            </w:tcBorders>
            <w:hideMark/>
          </w:tcPr>
          <w:p w14:paraId="66132309" w14:textId="77777777" w:rsidR="00CD7EFA" w:rsidRDefault="00CD7EFA">
            <w:pPr>
              <w:jc w:val="right"/>
              <w:rPr>
                <w:rFonts w:ascii="Cambria" w:hAnsi="Cambria"/>
                <w:b/>
                <w:bCs/>
                <w:sz w:val="22"/>
                <w:szCs w:val="22"/>
              </w:rPr>
            </w:pPr>
          </w:p>
        </w:tc>
      </w:tr>
      <w:tr w:rsidR="006D6F53" w14:paraId="3EB34A96"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72325198" w14:textId="02A60A76" w:rsidR="00CD7EFA" w:rsidRDefault="001D7A2B" w:rsidP="00CD7EFA">
            <w:pPr>
              <w:jc w:val="left"/>
              <w:rPr>
                <w:rFonts w:ascii="Cambria" w:hAnsi="Cambria"/>
                <w:b/>
                <w:bCs/>
                <w:sz w:val="22"/>
                <w:szCs w:val="22"/>
              </w:rPr>
            </w:pPr>
            <w:r>
              <w:rPr>
                <w:rFonts w:asciiTheme="minorHAnsi" w:hAnsiTheme="minorHAnsi" w:cstheme="minorHAnsi"/>
                <w:b/>
                <w:bCs/>
                <w:sz w:val="16"/>
                <w:szCs w:val="16"/>
              </w:rPr>
              <w:t>4.1</w:t>
            </w:r>
            <w:r>
              <w:t xml:space="preserve"> </w:t>
            </w:r>
            <w:r>
              <w:rPr>
                <w:rFonts w:asciiTheme="minorHAnsi" w:hAnsiTheme="minorHAnsi" w:cstheme="minorHAnsi"/>
              </w:rPr>
              <w:t>Insamling och annotering av hjärtdata</w:t>
            </w:r>
          </w:p>
        </w:tc>
        <w:tc>
          <w:tcPr>
            <w:tcW w:w="2777" w:type="pct"/>
            <w:tcBorders>
              <w:top w:val="dotted" w:sz="4" w:space="0" w:color="auto"/>
              <w:left w:val="dotted" w:sz="4" w:space="0" w:color="auto"/>
              <w:bottom w:val="dotted" w:sz="4" w:space="0" w:color="auto"/>
              <w:right w:val="dotted" w:sz="4" w:space="0" w:color="auto"/>
            </w:tcBorders>
            <w:hideMark/>
          </w:tcPr>
          <w:p w14:paraId="02994025" w14:textId="133D8C11" w:rsidR="006D6F53" w:rsidRDefault="001D7A2B">
            <w:pPr>
              <w:jc w:val="left"/>
              <w:rPr>
                <w:rFonts w:ascii="Cambria" w:hAnsi="Cambria"/>
                <w:b/>
                <w:bCs/>
                <w:sz w:val="22"/>
                <w:szCs w:val="22"/>
              </w:rPr>
            </w:pPr>
            <w:r>
              <w:rPr>
                <w:rFonts w:asciiTheme="minorHAnsi" w:hAnsiTheme="minorHAnsi" w:cstheme="minorHAnsi"/>
              </w:rPr>
              <w:t>Data samlas in via Coala Solutions plattform och i samarbete med svenska vårdgivare. Fokus ligger på att synkronisera hjärtljud och EKG, samt att koppla signalerna till kliniska utfall. Annotering sker av experter, med standardiserade protokoll för att säkerställa datakvalitet.</w:t>
            </w:r>
            <w:r w:rsidR="00142BC1">
              <w:rPr>
                <w:rFonts w:asciiTheme="minorHAnsi" w:hAnsiTheme="minorHAnsi"/>
              </w:rPr>
              <w:t xml:space="preserve"> </w:t>
            </w:r>
            <w:r>
              <w:rPr>
                <w:rFonts w:asciiTheme="minorHAnsi" w:hAnsiTheme="minorHAnsi" w:cstheme="minorHAnsi"/>
              </w:rPr>
              <w:t>Insamlingen omfattar både kontrollerade studier och användning i primärvården. Detta gör att datasetet täcker en bredd av patientgrupper och situationer. Mittuniversitetet ansvarar för analys och kvalitetssäkring, och ser till att datasetet blir användbart för AI-utveckling och jämförbart med motsvarande hjärndata i Norge.</w:t>
            </w:r>
          </w:p>
        </w:tc>
        <w:tc>
          <w:tcPr>
            <w:tcW w:w="625" w:type="pct"/>
            <w:tcBorders>
              <w:top w:val="dotted" w:sz="4" w:space="0" w:color="auto"/>
              <w:left w:val="dotted" w:sz="4" w:space="0" w:color="auto"/>
              <w:bottom w:val="dotted" w:sz="4" w:space="0" w:color="auto"/>
              <w:right w:val="dotted" w:sz="4" w:space="0" w:color="auto"/>
            </w:tcBorders>
            <w:hideMark/>
          </w:tcPr>
          <w:p w14:paraId="4C3E7480"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2027-01-01</w:t>
            </w:r>
            <w:r w:rsidRPr="008D0BCE">
              <w:rPr>
                <w:rFonts w:asciiTheme="minorHAnsi" w:hAnsiTheme="minorHAnsi" w:cstheme="minorHAnsi"/>
              </w:rPr>
              <w:t xml:space="preserve"> - </w:t>
            </w:r>
            <w:r>
              <w:rPr>
                <w:rFonts w:asciiTheme="minorHAnsi" w:hAnsiTheme="minorHAnsi" w:cstheme="minorHAnsi"/>
              </w:rPr>
              <w:t>2028-12-31</w:t>
            </w:r>
          </w:p>
        </w:tc>
        <w:tc>
          <w:tcPr>
            <w:tcW w:w="486" w:type="pct"/>
            <w:tcBorders>
              <w:top w:val="dotted" w:sz="4" w:space="0" w:color="auto"/>
              <w:left w:val="dotted" w:sz="4" w:space="0" w:color="auto"/>
              <w:bottom w:val="dotted" w:sz="4" w:space="0" w:color="auto"/>
              <w:right w:val="dotted" w:sz="4" w:space="0" w:color="auto"/>
            </w:tcBorders>
            <w:hideMark/>
          </w:tcPr>
          <w:p w14:paraId="13084106" w14:textId="77777777" w:rsidR="00CD7EFA" w:rsidRDefault="001D7A2B">
            <w:pPr>
              <w:jc w:val="right"/>
              <w:rPr>
                <w:rFonts w:ascii="Cambria" w:hAnsi="Cambria"/>
                <w:b/>
                <w:bCs/>
                <w:sz w:val="22"/>
                <w:szCs w:val="22"/>
              </w:rPr>
            </w:pPr>
            <w:r>
              <w:rPr>
                <w:rFonts w:asciiTheme="minorHAnsi" w:hAnsiTheme="minorHAnsi" w:cstheme="minorHAnsi"/>
              </w:rPr>
              <w:t>76 000</w:t>
            </w:r>
          </w:p>
        </w:tc>
      </w:tr>
      <w:tr w:rsidR="006D6F53" w14:paraId="13E597AF"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7F413A4D" w14:textId="524D3D97" w:rsidR="00CD7EFA" w:rsidRDefault="001D7A2B" w:rsidP="00CD7EFA">
            <w:pPr>
              <w:jc w:val="left"/>
              <w:rPr>
                <w:rFonts w:ascii="Cambria" w:hAnsi="Cambria"/>
                <w:b/>
                <w:bCs/>
                <w:sz w:val="22"/>
                <w:szCs w:val="22"/>
              </w:rPr>
            </w:pPr>
            <w:r>
              <w:rPr>
                <w:rFonts w:asciiTheme="minorHAnsi" w:hAnsiTheme="minorHAnsi" w:cstheme="minorHAnsi"/>
                <w:b/>
                <w:bCs/>
                <w:sz w:val="16"/>
                <w:szCs w:val="16"/>
              </w:rPr>
              <w:t>4.2</w:t>
            </w:r>
            <w:r>
              <w:rPr>
                <w:rFonts w:asciiTheme="minorHAnsi" w:hAnsiTheme="minorHAnsi" w:cstheme="minorHAnsi"/>
              </w:rPr>
              <w:t xml:space="preserve"> Insamling och annotering av hjärndata</w:t>
            </w:r>
          </w:p>
        </w:tc>
        <w:tc>
          <w:tcPr>
            <w:tcW w:w="2777" w:type="pct"/>
            <w:tcBorders>
              <w:top w:val="dotted" w:sz="4" w:space="0" w:color="auto"/>
              <w:left w:val="dotted" w:sz="4" w:space="0" w:color="auto"/>
              <w:bottom w:val="dotted" w:sz="4" w:space="0" w:color="auto"/>
              <w:right w:val="dotted" w:sz="4" w:space="0" w:color="auto"/>
            </w:tcBorders>
            <w:hideMark/>
          </w:tcPr>
          <w:p w14:paraId="6C23E2E4" w14:textId="0AE13D1C" w:rsidR="006D6F53" w:rsidRDefault="001D7A2B">
            <w:pPr>
              <w:jc w:val="left"/>
              <w:rPr>
                <w:rFonts w:ascii="Cambria" w:hAnsi="Cambria"/>
                <w:b/>
                <w:bCs/>
                <w:sz w:val="22"/>
                <w:szCs w:val="22"/>
              </w:rPr>
            </w:pPr>
            <w:r>
              <w:rPr>
                <w:rFonts w:asciiTheme="minorHAnsi" w:hAnsiTheme="minorHAnsi" w:cstheme="minorHAnsi"/>
              </w:rPr>
              <w:t>NTNU leder innsamling av multimodale hjernedata (NIRS + EEG) i samarbeid med St. Olavs hospital og andre kliniske partnere. Data samles inn fra pasienter med hjertestans, traumer, perioperative risikosituasjoner og intensivbehandling.</w:t>
            </w:r>
            <w:r w:rsidR="00142BC1">
              <w:rPr>
                <w:rFonts w:asciiTheme="minorHAnsi" w:hAnsiTheme="minorHAnsi"/>
              </w:rPr>
              <w:t xml:space="preserve"> </w:t>
            </w:r>
            <w:r>
              <w:rPr>
                <w:rFonts w:asciiTheme="minorHAnsi" w:hAnsiTheme="minorHAnsi" w:cstheme="minorHAnsi"/>
              </w:rPr>
              <w:t>Annotering skjer i tett samarbeid med kliniske eksperter, hvor både fysiologiske parametere og behandlingsforløp dokumenteres. CATE Medical Devices bidrar til testing av prototyper under innsamlingen, slik at både maskinvare og algoritmer valideres i realistiske omgivelser. Resultatet er et unikt datasett som kobler hjernens oksygenering til elektrisk aktivitet og kliniske utfall.</w:t>
            </w:r>
          </w:p>
        </w:tc>
        <w:tc>
          <w:tcPr>
            <w:tcW w:w="625" w:type="pct"/>
            <w:tcBorders>
              <w:top w:val="dotted" w:sz="4" w:space="0" w:color="auto"/>
              <w:left w:val="dotted" w:sz="4" w:space="0" w:color="auto"/>
              <w:bottom w:val="dotted" w:sz="4" w:space="0" w:color="auto"/>
              <w:right w:val="dotted" w:sz="4" w:space="0" w:color="auto"/>
            </w:tcBorders>
            <w:hideMark/>
          </w:tcPr>
          <w:p w14:paraId="37C42DE1"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2027-01-01</w:t>
            </w:r>
            <w:r w:rsidRPr="008D0BCE">
              <w:rPr>
                <w:rFonts w:asciiTheme="minorHAnsi" w:hAnsiTheme="minorHAnsi" w:cstheme="minorHAnsi"/>
              </w:rPr>
              <w:t xml:space="preserve"> - </w:t>
            </w:r>
            <w:r>
              <w:rPr>
                <w:rFonts w:asciiTheme="minorHAnsi" w:hAnsiTheme="minorHAnsi" w:cstheme="minorHAnsi"/>
              </w:rPr>
              <w:t>2028-12-31</w:t>
            </w:r>
          </w:p>
        </w:tc>
        <w:tc>
          <w:tcPr>
            <w:tcW w:w="486" w:type="pct"/>
            <w:tcBorders>
              <w:top w:val="dotted" w:sz="4" w:space="0" w:color="auto"/>
              <w:left w:val="dotted" w:sz="4" w:space="0" w:color="auto"/>
              <w:bottom w:val="dotted" w:sz="4" w:space="0" w:color="auto"/>
              <w:right w:val="dotted" w:sz="4" w:space="0" w:color="auto"/>
            </w:tcBorders>
            <w:hideMark/>
          </w:tcPr>
          <w:p w14:paraId="7C20DDB0" w14:textId="77777777" w:rsidR="00CD7EFA" w:rsidRDefault="001D7A2B">
            <w:pPr>
              <w:jc w:val="right"/>
              <w:rPr>
                <w:rFonts w:ascii="Cambria" w:hAnsi="Cambria"/>
                <w:b/>
                <w:bCs/>
                <w:sz w:val="22"/>
                <w:szCs w:val="22"/>
              </w:rPr>
            </w:pPr>
            <w:r>
              <w:rPr>
                <w:rFonts w:asciiTheme="minorHAnsi" w:hAnsiTheme="minorHAnsi" w:cstheme="minorHAnsi"/>
              </w:rPr>
              <w:t>84 000</w:t>
            </w:r>
          </w:p>
        </w:tc>
      </w:tr>
      <w:tr w:rsidR="006D6F53" w14:paraId="514B6E96"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69F8DA08" w14:textId="165C58BA" w:rsidR="00CD7EFA" w:rsidRDefault="001D7A2B" w:rsidP="00CD7EFA">
            <w:pPr>
              <w:jc w:val="left"/>
              <w:rPr>
                <w:rFonts w:ascii="Cambria" w:hAnsi="Cambria"/>
                <w:b/>
                <w:bCs/>
                <w:sz w:val="22"/>
                <w:szCs w:val="22"/>
              </w:rPr>
            </w:pPr>
            <w:r>
              <w:rPr>
                <w:rFonts w:asciiTheme="minorHAnsi" w:hAnsiTheme="minorHAnsi" w:cstheme="minorHAnsi"/>
                <w:b/>
                <w:bCs/>
                <w:sz w:val="16"/>
                <w:szCs w:val="16"/>
              </w:rPr>
              <w:t>4.3</w:t>
            </w:r>
            <w:r>
              <w:rPr>
                <w:rFonts w:asciiTheme="minorHAnsi" w:hAnsiTheme="minorHAnsi" w:cstheme="minorHAnsi"/>
              </w:rPr>
              <w:t xml:space="preserve"> Klinisk validering av prototyper</w:t>
            </w:r>
          </w:p>
        </w:tc>
        <w:tc>
          <w:tcPr>
            <w:tcW w:w="2777" w:type="pct"/>
            <w:tcBorders>
              <w:top w:val="dotted" w:sz="4" w:space="0" w:color="auto"/>
              <w:left w:val="dotted" w:sz="4" w:space="0" w:color="auto"/>
              <w:bottom w:val="dotted" w:sz="4" w:space="0" w:color="auto"/>
              <w:right w:val="dotted" w:sz="4" w:space="0" w:color="auto"/>
            </w:tcBorders>
            <w:hideMark/>
          </w:tcPr>
          <w:p w14:paraId="0AD14D5C" w14:textId="77777777" w:rsidR="00CD7EFA" w:rsidRDefault="001D7A2B" w:rsidP="00CD7EFA">
            <w:pPr>
              <w:jc w:val="left"/>
              <w:rPr>
                <w:rFonts w:ascii="Cambria" w:hAnsi="Cambria"/>
                <w:b/>
                <w:bCs/>
                <w:sz w:val="22"/>
                <w:szCs w:val="22"/>
              </w:rPr>
            </w:pPr>
            <w:r>
              <w:rPr>
                <w:rFonts w:asciiTheme="minorHAnsi" w:hAnsiTheme="minorHAnsi" w:cstheme="minorHAnsi"/>
              </w:rPr>
              <w:t>Prototyperna som utvecklats i WP3 testas i realistiska kliniska miljöer. För Coala Solutions gäller detta integration av AI-modeller i deras trådlösa stetoskop, som utvärderas i primärvården och i pilotstudier. För CATE Medical Devices innebär det att Oxycate testas med EEG-tillägg i akuta situationer och på intensivvårdsavdelningar.</w:t>
            </w:r>
          </w:p>
          <w:p w14:paraId="1A917DD8" w14:textId="77777777" w:rsidR="006D6F53" w:rsidRDefault="001D7A2B">
            <w:pPr>
              <w:jc w:val="left"/>
              <w:rPr>
                <w:rFonts w:ascii="Cambria" w:hAnsi="Cambria"/>
                <w:b/>
                <w:bCs/>
                <w:sz w:val="22"/>
                <w:szCs w:val="22"/>
              </w:rPr>
            </w:pPr>
            <w:r>
              <w:rPr>
                <w:rFonts w:asciiTheme="minorHAnsi" w:hAnsiTheme="minorHAnsi" w:cstheme="minorHAnsi"/>
              </w:rPr>
              <w:t>Valideringen omfattar användarvänlighet, tillförlitlighet och prestanda i kliniska rutiner. Resultaten dokumenteras i valideringsrapporter som används både för forskning och för att förbereda kommersialisering. Aktiviteten stärker trovärdigheten i resultaten och visar deras potential i verklig vård.</w:t>
            </w:r>
          </w:p>
        </w:tc>
        <w:tc>
          <w:tcPr>
            <w:tcW w:w="625" w:type="pct"/>
            <w:tcBorders>
              <w:top w:val="dotted" w:sz="4" w:space="0" w:color="auto"/>
              <w:left w:val="dotted" w:sz="4" w:space="0" w:color="auto"/>
              <w:bottom w:val="dotted" w:sz="4" w:space="0" w:color="auto"/>
              <w:right w:val="dotted" w:sz="4" w:space="0" w:color="auto"/>
            </w:tcBorders>
            <w:hideMark/>
          </w:tcPr>
          <w:p w14:paraId="5A957C84"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2027-01-01</w:t>
            </w:r>
            <w:r w:rsidRPr="008D0BCE">
              <w:rPr>
                <w:rFonts w:asciiTheme="minorHAnsi" w:hAnsiTheme="minorHAnsi" w:cstheme="minorHAnsi"/>
              </w:rPr>
              <w:t xml:space="preserve"> - </w:t>
            </w:r>
            <w:r>
              <w:rPr>
                <w:rFonts w:asciiTheme="minorHAnsi" w:hAnsiTheme="minorHAnsi" w:cstheme="minorHAnsi"/>
              </w:rPr>
              <w:t>2028-12-31</w:t>
            </w:r>
          </w:p>
        </w:tc>
        <w:tc>
          <w:tcPr>
            <w:tcW w:w="486" w:type="pct"/>
            <w:tcBorders>
              <w:top w:val="dotted" w:sz="4" w:space="0" w:color="auto"/>
              <w:left w:val="dotted" w:sz="4" w:space="0" w:color="auto"/>
              <w:bottom w:val="dotted" w:sz="4" w:space="0" w:color="auto"/>
              <w:right w:val="dotted" w:sz="4" w:space="0" w:color="auto"/>
            </w:tcBorders>
            <w:hideMark/>
          </w:tcPr>
          <w:p w14:paraId="33D6C4DF" w14:textId="77777777" w:rsidR="00CD7EFA" w:rsidRDefault="001D7A2B">
            <w:pPr>
              <w:jc w:val="right"/>
              <w:rPr>
                <w:rFonts w:ascii="Cambria" w:hAnsi="Cambria"/>
                <w:b/>
                <w:bCs/>
                <w:sz w:val="22"/>
                <w:szCs w:val="22"/>
              </w:rPr>
            </w:pPr>
            <w:r>
              <w:rPr>
                <w:rFonts w:asciiTheme="minorHAnsi" w:hAnsiTheme="minorHAnsi" w:cstheme="minorHAnsi"/>
              </w:rPr>
              <w:t>78 000</w:t>
            </w:r>
          </w:p>
        </w:tc>
      </w:tr>
      <w:tr w:rsidR="006D6F53" w14:paraId="118FE01E"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55DE4695" w14:textId="34188B1C" w:rsidR="00CD7EFA" w:rsidRDefault="001D7A2B" w:rsidP="00CD7EFA">
            <w:pPr>
              <w:jc w:val="left"/>
              <w:rPr>
                <w:rFonts w:ascii="Cambria" w:hAnsi="Cambria"/>
                <w:b/>
                <w:bCs/>
                <w:sz w:val="22"/>
                <w:szCs w:val="22"/>
              </w:rPr>
            </w:pPr>
            <w:r>
              <w:rPr>
                <w:rFonts w:asciiTheme="minorHAnsi" w:hAnsiTheme="minorHAnsi" w:cstheme="minorHAnsi"/>
                <w:b/>
                <w:bCs/>
                <w:sz w:val="16"/>
                <w:szCs w:val="16"/>
              </w:rPr>
              <w:t>4.4</w:t>
            </w:r>
            <w:r>
              <w:rPr>
                <w:rFonts w:asciiTheme="minorHAnsi" w:hAnsiTheme="minorHAnsi" w:cstheme="minorHAnsi"/>
              </w:rPr>
              <w:t xml:space="preserve"> Cross-learning och generalisering</w:t>
            </w:r>
          </w:p>
        </w:tc>
        <w:tc>
          <w:tcPr>
            <w:tcW w:w="2777" w:type="pct"/>
            <w:tcBorders>
              <w:top w:val="dotted" w:sz="4" w:space="0" w:color="auto"/>
              <w:left w:val="dotted" w:sz="4" w:space="0" w:color="auto"/>
              <w:bottom w:val="dotted" w:sz="4" w:space="0" w:color="auto"/>
              <w:right w:val="dotted" w:sz="4" w:space="0" w:color="auto"/>
            </w:tcBorders>
            <w:hideMark/>
          </w:tcPr>
          <w:p w14:paraId="4B46B704" w14:textId="77777777" w:rsidR="00CD7EFA" w:rsidRDefault="001D7A2B" w:rsidP="00CD7EFA">
            <w:pPr>
              <w:jc w:val="left"/>
              <w:rPr>
                <w:rFonts w:ascii="Cambria" w:hAnsi="Cambria"/>
                <w:b/>
                <w:bCs/>
                <w:sz w:val="22"/>
                <w:szCs w:val="22"/>
              </w:rPr>
            </w:pPr>
            <w:r>
              <w:rPr>
                <w:rFonts w:asciiTheme="minorHAnsi" w:hAnsiTheme="minorHAnsi" w:cstheme="minorHAnsi"/>
              </w:rPr>
              <w:t>Denna aktivitet binder samman de två spåren genom systematisk kunskapsdelning. AI-modeller och analysmetoder från hjärtsignaler testas på hjärndata, och vice versa. NTNU deler erfaringer med artefakthåndtering fra EEG/NIRS, mens Miun bidrar med fusjonsstrategier utviklet for hjertedata.</w:t>
            </w:r>
          </w:p>
          <w:p w14:paraId="72E7FC13" w14:textId="77777777" w:rsidR="006D6F53" w:rsidRDefault="001D7A2B">
            <w:pPr>
              <w:jc w:val="left"/>
              <w:rPr>
                <w:rFonts w:ascii="Cambria" w:hAnsi="Cambria"/>
                <w:b/>
                <w:bCs/>
                <w:sz w:val="22"/>
                <w:szCs w:val="22"/>
              </w:rPr>
            </w:pPr>
            <w:r>
              <w:rPr>
                <w:rFonts w:asciiTheme="minorHAnsi" w:hAnsiTheme="minorHAnsi" w:cstheme="minorHAnsi"/>
              </w:rPr>
              <w:t>Gemensamma workshops organiseras där resultat presenteras och jämförs. Det utvecklas även riktlinjer för hur dataset ska struktureras och annoteras för att bli användbara över flera applikationer. Aktiviteten resulterar i metoder och verktyg som är generaliserbara och som stärker projektets långsiktiga värde.</w:t>
            </w:r>
          </w:p>
        </w:tc>
        <w:tc>
          <w:tcPr>
            <w:tcW w:w="625" w:type="pct"/>
            <w:tcBorders>
              <w:top w:val="dotted" w:sz="4" w:space="0" w:color="auto"/>
              <w:left w:val="dotted" w:sz="4" w:space="0" w:color="auto"/>
              <w:bottom w:val="dotted" w:sz="4" w:space="0" w:color="auto"/>
              <w:right w:val="dotted" w:sz="4" w:space="0" w:color="auto"/>
            </w:tcBorders>
            <w:hideMark/>
          </w:tcPr>
          <w:p w14:paraId="48BE6D1F"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2027-01-01</w:t>
            </w:r>
            <w:r w:rsidRPr="008D0BCE">
              <w:rPr>
                <w:rFonts w:asciiTheme="minorHAnsi" w:hAnsiTheme="minorHAnsi" w:cstheme="minorHAnsi"/>
              </w:rPr>
              <w:t xml:space="preserve"> - </w:t>
            </w:r>
            <w:r>
              <w:rPr>
                <w:rFonts w:asciiTheme="minorHAnsi" w:hAnsiTheme="minorHAnsi" w:cstheme="minorHAnsi"/>
              </w:rPr>
              <w:t>2028-12-31</w:t>
            </w:r>
          </w:p>
        </w:tc>
        <w:tc>
          <w:tcPr>
            <w:tcW w:w="486" w:type="pct"/>
            <w:tcBorders>
              <w:top w:val="dotted" w:sz="4" w:space="0" w:color="auto"/>
              <w:left w:val="dotted" w:sz="4" w:space="0" w:color="auto"/>
              <w:bottom w:val="dotted" w:sz="4" w:space="0" w:color="auto"/>
              <w:right w:val="dotted" w:sz="4" w:space="0" w:color="auto"/>
            </w:tcBorders>
            <w:hideMark/>
          </w:tcPr>
          <w:p w14:paraId="4C6D20CB" w14:textId="77777777" w:rsidR="00CD7EFA" w:rsidRDefault="001D7A2B">
            <w:pPr>
              <w:jc w:val="right"/>
              <w:rPr>
                <w:rFonts w:ascii="Cambria" w:hAnsi="Cambria"/>
                <w:b/>
                <w:bCs/>
                <w:sz w:val="22"/>
                <w:szCs w:val="22"/>
              </w:rPr>
            </w:pPr>
            <w:r>
              <w:rPr>
                <w:rFonts w:asciiTheme="minorHAnsi" w:hAnsiTheme="minorHAnsi" w:cstheme="minorHAnsi"/>
              </w:rPr>
              <w:t>72 357</w:t>
            </w:r>
          </w:p>
        </w:tc>
      </w:tr>
      <w:tr w:rsidR="006D6F53" w14:paraId="7281D0EC"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5795A69B" w14:textId="5C096AD6" w:rsidR="00CD7EFA" w:rsidRDefault="001D7A2B" w:rsidP="00CD7EFA">
            <w:pPr>
              <w:jc w:val="left"/>
              <w:rPr>
                <w:rFonts w:ascii="Cambria" w:hAnsi="Cambria"/>
                <w:b/>
                <w:bCs/>
                <w:sz w:val="22"/>
                <w:szCs w:val="22"/>
              </w:rPr>
            </w:pPr>
            <w:r>
              <w:rPr>
                <w:rFonts w:asciiTheme="minorHAnsi" w:hAnsiTheme="minorHAnsi" w:cstheme="minorHAnsi"/>
                <w:b/>
                <w:bCs/>
                <w:sz w:val="16"/>
                <w:szCs w:val="16"/>
              </w:rPr>
              <w:t>5</w:t>
            </w:r>
            <w:r>
              <w:rPr>
                <w:rFonts w:asciiTheme="minorHAnsi" w:hAnsiTheme="minorHAnsi" w:cstheme="minorHAnsi"/>
              </w:rPr>
              <w:t xml:space="preserve"> Kommunikation och spridning</w:t>
            </w:r>
          </w:p>
        </w:tc>
        <w:tc>
          <w:tcPr>
            <w:tcW w:w="2777" w:type="pct"/>
            <w:tcBorders>
              <w:top w:val="dotted" w:sz="4" w:space="0" w:color="auto"/>
              <w:left w:val="dotted" w:sz="4" w:space="0" w:color="auto"/>
              <w:bottom w:val="dotted" w:sz="4" w:space="0" w:color="auto"/>
              <w:right w:val="dotted" w:sz="4" w:space="0" w:color="auto"/>
            </w:tcBorders>
            <w:hideMark/>
          </w:tcPr>
          <w:p w14:paraId="23255BA2" w14:textId="3966A163" w:rsidR="00142BC1" w:rsidRDefault="001D7A2B" w:rsidP="00142BC1">
            <w:pPr>
              <w:rPr>
                <w:rFonts w:asciiTheme="minorHAnsi" w:hAnsiTheme="minorHAnsi" w:cstheme="minorHAnsi"/>
              </w:rPr>
            </w:pPr>
            <w:r>
              <w:rPr>
                <w:rFonts w:asciiTheme="minorHAnsi" w:hAnsiTheme="minorHAnsi" w:cstheme="minorHAnsi"/>
              </w:rPr>
              <w:t xml:space="preserve">Detta arbetspaket säkerställer att projektets resultat görs tillgängliga för alla relevanta målgrupper: hälso- och sjukvård, industri, akademi, beslutsfattare och allmänhet. </w:t>
            </w:r>
          </w:p>
          <w:p w14:paraId="6B3908BA" w14:textId="71EE4F9D" w:rsidR="006D6F53" w:rsidRDefault="001D7A2B">
            <w:pPr>
              <w:jc w:val="left"/>
              <w:rPr>
                <w:rFonts w:ascii="Cambria" w:hAnsi="Cambria"/>
                <w:b/>
                <w:bCs/>
                <w:sz w:val="22"/>
                <w:szCs w:val="22"/>
              </w:rPr>
            </w:pPr>
            <w:r>
              <w:rPr>
                <w:rFonts w:asciiTheme="minorHAnsi" w:hAnsiTheme="minorHAnsi" w:cstheme="minorHAnsi"/>
              </w:rPr>
              <w:lastRenderedPageBreak/>
              <w:t>Resultat sprids genom nyhetsbrev, digitala kanaler, workshops och direkt dialog med vårdpersonal. Fokus ligger på hur prototyperna kan användas i praktiken för att stödja beslut i både akuta och rutinmässiga situationer.</w:t>
            </w:r>
          </w:p>
          <w:p w14:paraId="48F894DA" w14:textId="2FA6815A" w:rsidR="006D6F53" w:rsidRDefault="001D7A2B">
            <w:pPr>
              <w:jc w:val="left"/>
              <w:rPr>
                <w:rFonts w:ascii="Cambria" w:hAnsi="Cambria"/>
                <w:b/>
                <w:bCs/>
                <w:sz w:val="22"/>
                <w:szCs w:val="22"/>
              </w:rPr>
            </w:pPr>
            <w:r>
              <w:rPr>
                <w:rFonts w:asciiTheme="minorHAnsi" w:hAnsiTheme="minorHAnsi" w:cstheme="minorHAnsi"/>
              </w:rPr>
              <w:t>For NTNU og CATE Medical Devices er kommunikasjon også rettet mot kliniske forskningsmiljøer og helsemyndigheter. Dette inkluderer å levere evidensbaserte oppsummeringer til beslutningstakere, slik at ny teknologi lettere kan implementeres i helsetjenesten.</w:t>
            </w:r>
          </w:p>
        </w:tc>
        <w:tc>
          <w:tcPr>
            <w:tcW w:w="625" w:type="pct"/>
            <w:tcBorders>
              <w:top w:val="dotted" w:sz="4" w:space="0" w:color="auto"/>
              <w:left w:val="dotted" w:sz="4" w:space="0" w:color="auto"/>
              <w:bottom w:val="dotted" w:sz="4" w:space="0" w:color="auto"/>
              <w:right w:val="dotted" w:sz="4" w:space="0" w:color="auto"/>
            </w:tcBorders>
            <w:hideMark/>
          </w:tcPr>
          <w:p w14:paraId="0373485D" w14:textId="77777777" w:rsidR="00234BCF" w:rsidRPr="00234BCF" w:rsidRDefault="001D7A2B" w:rsidP="00CD7EFA">
            <w:pPr>
              <w:jc w:val="left"/>
              <w:rPr>
                <w:rFonts w:asciiTheme="minorHAnsi" w:hAnsiTheme="minorHAnsi" w:cstheme="minorHAnsi"/>
              </w:rPr>
            </w:pPr>
            <w:r>
              <w:rPr>
                <w:rFonts w:asciiTheme="minorHAnsi" w:hAnsiTheme="minorHAnsi" w:cstheme="minorHAnsi"/>
              </w:rPr>
              <w:lastRenderedPageBreak/>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78ABD11A" w14:textId="77777777" w:rsidR="00CD7EFA" w:rsidRDefault="00CD7EFA">
            <w:pPr>
              <w:jc w:val="right"/>
              <w:rPr>
                <w:rFonts w:ascii="Cambria" w:hAnsi="Cambria"/>
                <w:b/>
                <w:bCs/>
                <w:sz w:val="22"/>
                <w:szCs w:val="22"/>
              </w:rPr>
            </w:pPr>
          </w:p>
        </w:tc>
      </w:tr>
      <w:tr w:rsidR="006D6F53" w14:paraId="08F55E7B"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7938DEF3" w14:textId="4098647F" w:rsidR="00CD7EFA" w:rsidRDefault="001D7A2B" w:rsidP="00CD7EFA">
            <w:pPr>
              <w:jc w:val="left"/>
              <w:rPr>
                <w:rFonts w:ascii="Cambria" w:hAnsi="Cambria"/>
                <w:b/>
                <w:bCs/>
                <w:sz w:val="22"/>
                <w:szCs w:val="22"/>
              </w:rPr>
            </w:pPr>
            <w:r>
              <w:rPr>
                <w:rFonts w:asciiTheme="minorHAnsi" w:hAnsiTheme="minorHAnsi" w:cstheme="minorHAnsi"/>
                <w:b/>
                <w:bCs/>
                <w:sz w:val="16"/>
                <w:szCs w:val="16"/>
              </w:rPr>
              <w:t>5.1</w:t>
            </w:r>
            <w:r w:rsidR="00CE5032">
              <w:rPr>
                <w:b/>
                <w:bCs/>
              </w:rPr>
              <w:t xml:space="preserve"> </w:t>
            </w:r>
            <w:r>
              <w:rPr>
                <w:rFonts w:asciiTheme="minorHAnsi" w:hAnsiTheme="minorHAnsi" w:cstheme="minorHAnsi"/>
              </w:rPr>
              <w:t>Kommunikationsstrategi och plan</w:t>
            </w:r>
          </w:p>
        </w:tc>
        <w:tc>
          <w:tcPr>
            <w:tcW w:w="2777" w:type="pct"/>
            <w:tcBorders>
              <w:top w:val="dotted" w:sz="4" w:space="0" w:color="auto"/>
              <w:left w:val="dotted" w:sz="4" w:space="0" w:color="auto"/>
              <w:bottom w:val="dotted" w:sz="4" w:space="0" w:color="auto"/>
              <w:right w:val="dotted" w:sz="4" w:space="0" w:color="auto"/>
            </w:tcBorders>
            <w:hideMark/>
          </w:tcPr>
          <w:p w14:paraId="15CDFBCD" w14:textId="77777777" w:rsidR="00CD7EFA" w:rsidRDefault="001D7A2B" w:rsidP="00CD7EFA">
            <w:pPr>
              <w:jc w:val="left"/>
              <w:rPr>
                <w:rFonts w:ascii="Cambria" w:hAnsi="Cambria"/>
                <w:b/>
                <w:bCs/>
                <w:sz w:val="22"/>
                <w:szCs w:val="22"/>
              </w:rPr>
            </w:pPr>
            <w:r>
              <w:rPr>
                <w:rFonts w:asciiTheme="minorHAnsi" w:hAnsiTheme="minorHAnsi" w:cstheme="minorHAnsi"/>
              </w:rPr>
              <w:t>En detaljerad kommunikationsplan tas fram i början av projektet. Planen identifierar målgrupper, budskap, kanaler och ansvarsfördelning. Den omfattar både intern kommunikation mellan partner och extern kommunikation till vård, industri och allmänhet.</w:t>
            </w:r>
          </w:p>
          <w:p w14:paraId="1A41B420" w14:textId="77777777" w:rsidR="006D6F53" w:rsidRDefault="001D7A2B">
            <w:pPr>
              <w:jc w:val="left"/>
              <w:rPr>
                <w:rFonts w:ascii="Cambria" w:hAnsi="Cambria"/>
                <w:b/>
                <w:bCs/>
                <w:sz w:val="22"/>
                <w:szCs w:val="22"/>
              </w:rPr>
            </w:pPr>
            <w:r>
              <w:rPr>
                <w:rFonts w:asciiTheme="minorHAnsi" w:hAnsiTheme="minorHAnsi" w:cstheme="minorHAnsi"/>
              </w:rPr>
              <w:t>Strategin bygger på principen att varje målgrupp behöver anpassade budskap. För vården lyfts nyttan i kliniska beslut, för industrin affärsmöjligheter och för allmänheten samhällsvinster. Planen uppdateras årligen och används som styrdokument för alla aktiviteter i WP5.</w:t>
            </w:r>
          </w:p>
        </w:tc>
        <w:tc>
          <w:tcPr>
            <w:tcW w:w="625" w:type="pct"/>
            <w:tcBorders>
              <w:top w:val="dotted" w:sz="4" w:space="0" w:color="auto"/>
              <w:left w:val="dotted" w:sz="4" w:space="0" w:color="auto"/>
              <w:bottom w:val="dotted" w:sz="4" w:space="0" w:color="auto"/>
              <w:right w:val="dotted" w:sz="4" w:space="0" w:color="auto"/>
            </w:tcBorders>
            <w:hideMark/>
          </w:tcPr>
          <w:p w14:paraId="65A8027E"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797497ED" w14:textId="77777777" w:rsidR="00CD7EFA" w:rsidRDefault="001D7A2B">
            <w:pPr>
              <w:jc w:val="right"/>
              <w:rPr>
                <w:rFonts w:ascii="Cambria" w:hAnsi="Cambria"/>
                <w:b/>
                <w:bCs/>
                <w:sz w:val="22"/>
                <w:szCs w:val="22"/>
              </w:rPr>
            </w:pPr>
            <w:r>
              <w:rPr>
                <w:rFonts w:asciiTheme="minorHAnsi" w:hAnsiTheme="minorHAnsi" w:cstheme="minorHAnsi"/>
              </w:rPr>
              <w:t>28 000</w:t>
            </w:r>
          </w:p>
        </w:tc>
      </w:tr>
      <w:tr w:rsidR="006D6F53" w14:paraId="7E54A510"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48364011" w14:textId="32C7001B" w:rsidR="00CD7EFA" w:rsidRDefault="001D7A2B" w:rsidP="00CD7EFA">
            <w:pPr>
              <w:jc w:val="left"/>
              <w:rPr>
                <w:rFonts w:ascii="Cambria" w:hAnsi="Cambria"/>
                <w:b/>
                <w:bCs/>
                <w:sz w:val="22"/>
                <w:szCs w:val="22"/>
              </w:rPr>
            </w:pPr>
            <w:r>
              <w:rPr>
                <w:rFonts w:asciiTheme="minorHAnsi" w:hAnsiTheme="minorHAnsi" w:cstheme="minorHAnsi"/>
                <w:b/>
                <w:bCs/>
                <w:sz w:val="16"/>
                <w:szCs w:val="16"/>
              </w:rPr>
              <w:t>5.2</w:t>
            </w:r>
            <w:r>
              <w:rPr>
                <w:rFonts w:asciiTheme="minorHAnsi" w:hAnsiTheme="minorHAnsi" w:cstheme="minorHAnsi"/>
              </w:rPr>
              <w:t xml:space="preserve"> Kommunikation till målgrupper och intressenter</w:t>
            </w:r>
          </w:p>
        </w:tc>
        <w:tc>
          <w:tcPr>
            <w:tcW w:w="2777" w:type="pct"/>
            <w:tcBorders>
              <w:top w:val="dotted" w:sz="4" w:space="0" w:color="auto"/>
              <w:left w:val="dotted" w:sz="4" w:space="0" w:color="auto"/>
              <w:bottom w:val="dotted" w:sz="4" w:space="0" w:color="auto"/>
              <w:right w:val="dotted" w:sz="4" w:space="0" w:color="auto"/>
            </w:tcBorders>
            <w:hideMark/>
          </w:tcPr>
          <w:p w14:paraId="399BCDE0" w14:textId="7F0AAE71" w:rsidR="006D6F53" w:rsidRDefault="001D7A2B">
            <w:pPr>
              <w:jc w:val="left"/>
              <w:rPr>
                <w:rFonts w:ascii="Cambria" w:hAnsi="Cambria"/>
                <w:b/>
                <w:bCs/>
                <w:sz w:val="22"/>
                <w:szCs w:val="22"/>
              </w:rPr>
            </w:pPr>
            <w:r>
              <w:rPr>
                <w:rFonts w:asciiTheme="minorHAnsi" w:hAnsiTheme="minorHAnsi" w:cstheme="minorHAnsi"/>
              </w:rPr>
              <w:t>Projektet sprider resultat till vården genom riktade utskick, referensgrupper och deltagande i konferenser för läkare och vårdpersonal. Workshops organiseras med fokus på att demonstrera prototyper och få direkt återkoppling.</w:t>
            </w:r>
            <w:r w:rsidR="00142BC1">
              <w:rPr>
                <w:rFonts w:asciiTheme="minorHAnsi" w:hAnsiTheme="minorHAnsi"/>
              </w:rPr>
              <w:t xml:space="preserve"> </w:t>
            </w:r>
            <w:r>
              <w:rPr>
                <w:rFonts w:asciiTheme="minorHAnsi" w:hAnsiTheme="minorHAnsi" w:cstheme="minorHAnsi"/>
              </w:rPr>
              <w:t>NTNU koordinerer kommunikasjon med norske helsetjenester og myndigheter, og sørger for at resultatene når beslutningstakere og kliniske miljøer. Mittuniversitetet ansvarar för motsvarande arbete i Sverige. Genom att dela denna roll säkerställs att resultaten får spridning i båda länder och är förankrade i de nationella vårdsystemen.</w:t>
            </w:r>
          </w:p>
        </w:tc>
        <w:tc>
          <w:tcPr>
            <w:tcW w:w="625" w:type="pct"/>
            <w:tcBorders>
              <w:top w:val="dotted" w:sz="4" w:space="0" w:color="auto"/>
              <w:left w:val="dotted" w:sz="4" w:space="0" w:color="auto"/>
              <w:bottom w:val="dotted" w:sz="4" w:space="0" w:color="auto"/>
              <w:right w:val="dotted" w:sz="4" w:space="0" w:color="auto"/>
            </w:tcBorders>
            <w:hideMark/>
          </w:tcPr>
          <w:p w14:paraId="2935D681"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1172DB52" w14:textId="77777777" w:rsidR="00CD7EFA" w:rsidRDefault="001D7A2B">
            <w:pPr>
              <w:jc w:val="right"/>
              <w:rPr>
                <w:rFonts w:ascii="Cambria" w:hAnsi="Cambria"/>
                <w:b/>
                <w:bCs/>
                <w:sz w:val="22"/>
                <w:szCs w:val="22"/>
              </w:rPr>
            </w:pPr>
            <w:r>
              <w:rPr>
                <w:rFonts w:asciiTheme="minorHAnsi" w:hAnsiTheme="minorHAnsi" w:cstheme="minorHAnsi"/>
              </w:rPr>
              <w:t>29 000</w:t>
            </w:r>
          </w:p>
        </w:tc>
      </w:tr>
      <w:tr w:rsidR="006D6F53" w14:paraId="6F92D155"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104D5392" w14:textId="47677D60" w:rsidR="00CD7EFA" w:rsidRDefault="001D7A2B" w:rsidP="00CD7EFA">
            <w:pPr>
              <w:jc w:val="left"/>
              <w:rPr>
                <w:rFonts w:ascii="Cambria" w:hAnsi="Cambria"/>
                <w:b/>
                <w:bCs/>
                <w:sz w:val="22"/>
                <w:szCs w:val="22"/>
              </w:rPr>
            </w:pPr>
            <w:r>
              <w:rPr>
                <w:rFonts w:asciiTheme="minorHAnsi" w:hAnsiTheme="minorHAnsi" w:cstheme="minorHAnsi"/>
                <w:b/>
                <w:bCs/>
                <w:sz w:val="16"/>
                <w:szCs w:val="16"/>
              </w:rPr>
              <w:t>5.3</w:t>
            </w:r>
            <w:r>
              <w:rPr>
                <w:rFonts w:asciiTheme="minorHAnsi" w:hAnsiTheme="minorHAnsi" w:cstheme="minorHAnsi"/>
              </w:rPr>
              <w:t xml:space="preserve"> Offentlig kommunikation och synlighet</w:t>
            </w:r>
          </w:p>
        </w:tc>
        <w:tc>
          <w:tcPr>
            <w:tcW w:w="2777" w:type="pct"/>
            <w:tcBorders>
              <w:top w:val="dotted" w:sz="4" w:space="0" w:color="auto"/>
              <w:left w:val="dotted" w:sz="4" w:space="0" w:color="auto"/>
              <w:bottom w:val="dotted" w:sz="4" w:space="0" w:color="auto"/>
              <w:right w:val="dotted" w:sz="4" w:space="0" w:color="auto"/>
            </w:tcBorders>
            <w:hideMark/>
          </w:tcPr>
          <w:p w14:paraId="6B23ABEA" w14:textId="7B6B5815" w:rsidR="006D6F53" w:rsidRDefault="001D7A2B" w:rsidP="00142BC1">
            <w:pPr>
              <w:jc w:val="left"/>
              <w:rPr>
                <w:rFonts w:ascii="Cambria" w:hAnsi="Cambria"/>
                <w:b/>
                <w:bCs/>
                <w:sz w:val="22"/>
                <w:szCs w:val="22"/>
              </w:rPr>
            </w:pPr>
            <w:r>
              <w:rPr>
                <w:rFonts w:asciiTheme="minorHAnsi" w:hAnsiTheme="minorHAnsi" w:cstheme="minorHAnsi"/>
              </w:rPr>
              <w:t>Allmänheten informeras om projektets framsteg och resultat genom pressmeddelanden, sociala medier och projektets webbplats. Kommunikationen lyfter även fram hållbarhetsaspekterna: minskade resurser i vården, jämställdhet i forskningsmiljöer och inkludering av olika grupper i projektet. Projektet använder dessutom digitala event och öppna seminarier för att nå bredare målgrupper, inklusive studenter och patientföreningar.</w:t>
            </w:r>
          </w:p>
        </w:tc>
        <w:tc>
          <w:tcPr>
            <w:tcW w:w="625" w:type="pct"/>
            <w:tcBorders>
              <w:top w:val="dotted" w:sz="4" w:space="0" w:color="auto"/>
              <w:left w:val="dotted" w:sz="4" w:space="0" w:color="auto"/>
              <w:bottom w:val="dotted" w:sz="4" w:space="0" w:color="auto"/>
              <w:right w:val="dotted" w:sz="4" w:space="0" w:color="auto"/>
            </w:tcBorders>
            <w:hideMark/>
          </w:tcPr>
          <w:p w14:paraId="52870F3E"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22609DCF" w14:textId="77777777" w:rsidR="00CD7EFA" w:rsidRDefault="001D7A2B">
            <w:pPr>
              <w:jc w:val="right"/>
              <w:rPr>
                <w:rFonts w:ascii="Cambria" w:hAnsi="Cambria"/>
                <w:b/>
                <w:bCs/>
                <w:sz w:val="22"/>
                <w:szCs w:val="22"/>
              </w:rPr>
            </w:pPr>
            <w:r>
              <w:rPr>
                <w:rFonts w:asciiTheme="minorHAnsi" w:hAnsiTheme="minorHAnsi" w:cstheme="minorHAnsi"/>
              </w:rPr>
              <w:t>28 000</w:t>
            </w:r>
          </w:p>
        </w:tc>
      </w:tr>
      <w:tr w:rsidR="006D6F53" w14:paraId="4F4389FE" w14:textId="77777777" w:rsidTr="008F3D1D">
        <w:tc>
          <w:tcPr>
            <w:tcW w:w="1112" w:type="pct"/>
            <w:tcBorders>
              <w:top w:val="dotted" w:sz="4" w:space="0" w:color="auto"/>
              <w:left w:val="dotted" w:sz="4" w:space="0" w:color="auto"/>
              <w:bottom w:val="dotted" w:sz="4" w:space="0" w:color="auto"/>
              <w:right w:val="dotted" w:sz="4" w:space="0" w:color="auto"/>
            </w:tcBorders>
            <w:hideMark/>
          </w:tcPr>
          <w:p w14:paraId="6E75A07D" w14:textId="13DE038A" w:rsidR="00CD7EFA" w:rsidRDefault="001D7A2B" w:rsidP="00CD7EFA">
            <w:pPr>
              <w:jc w:val="left"/>
              <w:rPr>
                <w:rFonts w:ascii="Cambria" w:hAnsi="Cambria"/>
                <w:b/>
                <w:bCs/>
                <w:sz w:val="22"/>
                <w:szCs w:val="22"/>
              </w:rPr>
            </w:pPr>
            <w:r>
              <w:rPr>
                <w:rFonts w:asciiTheme="minorHAnsi" w:hAnsiTheme="minorHAnsi" w:cstheme="minorHAnsi"/>
                <w:b/>
                <w:bCs/>
                <w:sz w:val="16"/>
                <w:szCs w:val="16"/>
              </w:rPr>
              <w:t>5.4</w:t>
            </w:r>
            <w:r>
              <w:rPr>
                <w:rFonts w:asciiTheme="minorHAnsi" w:hAnsiTheme="minorHAnsi" w:cstheme="minorHAnsi"/>
              </w:rPr>
              <w:t xml:space="preserve"> Vetenskaplig spridning</w:t>
            </w:r>
          </w:p>
        </w:tc>
        <w:tc>
          <w:tcPr>
            <w:tcW w:w="2777" w:type="pct"/>
            <w:tcBorders>
              <w:top w:val="dotted" w:sz="4" w:space="0" w:color="auto"/>
              <w:left w:val="dotted" w:sz="4" w:space="0" w:color="auto"/>
              <w:bottom w:val="dotted" w:sz="4" w:space="0" w:color="auto"/>
              <w:right w:val="dotted" w:sz="4" w:space="0" w:color="auto"/>
            </w:tcBorders>
            <w:hideMark/>
          </w:tcPr>
          <w:p w14:paraId="319AC9EE" w14:textId="77777777" w:rsidR="00CD7EFA" w:rsidRDefault="001D7A2B" w:rsidP="00CD7EFA">
            <w:pPr>
              <w:jc w:val="left"/>
              <w:rPr>
                <w:rFonts w:ascii="Cambria" w:hAnsi="Cambria"/>
                <w:b/>
                <w:bCs/>
                <w:sz w:val="22"/>
                <w:szCs w:val="22"/>
              </w:rPr>
            </w:pPr>
            <w:r>
              <w:rPr>
                <w:rFonts w:asciiTheme="minorHAnsi" w:hAnsiTheme="minorHAnsi" w:cstheme="minorHAnsi"/>
              </w:rPr>
              <w:t>Resultaten publiceras i vetenskapliga tidskrifter och presenteras på internationella konferenser. Fokus ligger på AI-modeller, metodik för sensorfusion och kliniska valideringar.</w:t>
            </w:r>
          </w:p>
          <w:p w14:paraId="1A41864E" w14:textId="77777777" w:rsidR="006D6F53" w:rsidRDefault="001D7A2B">
            <w:pPr>
              <w:jc w:val="left"/>
              <w:rPr>
                <w:rFonts w:ascii="Cambria" w:hAnsi="Cambria"/>
                <w:b/>
                <w:bCs/>
                <w:sz w:val="22"/>
                <w:szCs w:val="22"/>
              </w:rPr>
            </w:pPr>
            <w:r>
              <w:rPr>
                <w:rFonts w:asciiTheme="minorHAnsi" w:hAnsiTheme="minorHAnsi" w:cstheme="minorHAnsi"/>
              </w:rPr>
              <w:t>NTNU leder submissioner til medisinske tidsskrifter, mens Miun koordinerar publikationer inom teknik och AI. På detta sätt kompletterar partnerna varandra och säkerställer att projektets resultat sprids både i medicinska och tekniska forskningsmiljöer. Industripartnerna bidrar med konferenspresentationer inom innovation och produktutveckling.</w:t>
            </w:r>
          </w:p>
        </w:tc>
        <w:tc>
          <w:tcPr>
            <w:tcW w:w="625" w:type="pct"/>
            <w:tcBorders>
              <w:top w:val="dotted" w:sz="4" w:space="0" w:color="auto"/>
              <w:left w:val="dotted" w:sz="4" w:space="0" w:color="auto"/>
              <w:bottom w:val="dotted" w:sz="4" w:space="0" w:color="auto"/>
              <w:right w:val="dotted" w:sz="4" w:space="0" w:color="auto"/>
            </w:tcBorders>
            <w:hideMark/>
          </w:tcPr>
          <w:p w14:paraId="5ECA25D1" w14:textId="77777777" w:rsidR="00234BCF" w:rsidRPr="00234BCF" w:rsidRDefault="001D7A2B" w:rsidP="00CD7EFA">
            <w:pPr>
              <w:jc w:val="left"/>
              <w:rPr>
                <w:rFonts w:asciiTheme="minorHAnsi" w:hAnsiTheme="minorHAnsi" w:cstheme="minorHAnsi"/>
              </w:rPr>
            </w:pPr>
            <w:r>
              <w:rPr>
                <w:rFonts w:asciiTheme="minorHAnsi" w:hAnsiTheme="minorHAnsi" w:cstheme="minorHAnsi"/>
              </w:rPr>
              <w:t>2026-04-01</w:t>
            </w:r>
            <w:r w:rsidRPr="008D0BCE">
              <w:rPr>
                <w:rFonts w:asciiTheme="minorHAnsi" w:hAnsiTheme="minorHAnsi" w:cstheme="minorHAnsi"/>
              </w:rPr>
              <w:t xml:space="preserve"> - </w:t>
            </w:r>
            <w:r>
              <w:rPr>
                <w:rFonts w:asciiTheme="minorHAnsi" w:hAnsiTheme="minorHAnsi" w:cstheme="minorHAnsi"/>
              </w:rPr>
              <w:t>2029-03-31</w:t>
            </w:r>
          </w:p>
        </w:tc>
        <w:tc>
          <w:tcPr>
            <w:tcW w:w="486" w:type="pct"/>
            <w:tcBorders>
              <w:top w:val="dotted" w:sz="4" w:space="0" w:color="auto"/>
              <w:left w:val="dotted" w:sz="4" w:space="0" w:color="auto"/>
              <w:bottom w:val="dotted" w:sz="4" w:space="0" w:color="auto"/>
              <w:right w:val="dotted" w:sz="4" w:space="0" w:color="auto"/>
            </w:tcBorders>
            <w:hideMark/>
          </w:tcPr>
          <w:p w14:paraId="0C19A7B5" w14:textId="77777777" w:rsidR="00CD7EFA" w:rsidRDefault="001D7A2B">
            <w:pPr>
              <w:jc w:val="right"/>
              <w:rPr>
                <w:rFonts w:ascii="Cambria" w:hAnsi="Cambria"/>
                <w:b/>
                <w:bCs/>
                <w:sz w:val="22"/>
                <w:szCs w:val="22"/>
              </w:rPr>
            </w:pPr>
            <w:r>
              <w:rPr>
                <w:rFonts w:asciiTheme="minorHAnsi" w:hAnsiTheme="minorHAnsi" w:cstheme="minorHAnsi"/>
              </w:rPr>
              <w:t>28 797</w:t>
            </w:r>
          </w:p>
        </w:tc>
      </w:tr>
    </w:tbl>
    <w:p w14:paraId="6D11BACD" w14:textId="77777777" w:rsidR="00D368E8" w:rsidRPr="004E2584" w:rsidRDefault="00D368E8" w:rsidP="00EE4D0F">
      <w:pPr>
        <w:rPr>
          <w:rFonts w:ascii="Calibri" w:hAnsi="Calibri"/>
          <w:sz w:val="22"/>
          <w:szCs w:val="22"/>
        </w:rPr>
      </w:pPr>
    </w:p>
    <w:p w14:paraId="5C382908" w14:textId="77777777" w:rsidR="00A53F21" w:rsidRPr="00C14338" w:rsidRDefault="001D7A2B" w:rsidP="00EE4D0F">
      <w:pPr>
        <w:rPr>
          <w:rFonts w:ascii="Calibri" w:hAnsi="Calibri"/>
          <w:b/>
          <w:sz w:val="28"/>
          <w:szCs w:val="28"/>
        </w:rPr>
      </w:pPr>
      <w:r w:rsidRPr="00C14338">
        <w:rPr>
          <w:rFonts w:ascii="Calibri" w:hAnsi="Calibri"/>
          <w:b/>
          <w:sz w:val="28"/>
          <w:szCs w:val="28"/>
        </w:rPr>
        <w:t>Indikatorer</w:t>
      </w:r>
    </w:p>
    <w:tbl>
      <w:tblPr>
        <w:tblStyle w:val="Tabellrutenett"/>
        <w:tblW w:w="6007"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BE5F1" w:themeFill="accent1" w:themeFillTint="33"/>
        <w:tblLook w:val="04A0" w:firstRow="1" w:lastRow="0" w:firstColumn="1" w:lastColumn="0" w:noHBand="0" w:noVBand="1"/>
      </w:tblPr>
      <w:tblGrid>
        <w:gridCol w:w="3602"/>
        <w:gridCol w:w="878"/>
        <w:gridCol w:w="1117"/>
        <w:gridCol w:w="4609"/>
      </w:tblGrid>
      <w:tr w:rsidR="006D6F53" w14:paraId="315C2C90" w14:textId="77777777" w:rsidTr="00133B41">
        <w:trPr>
          <w:tblHeader/>
        </w:trPr>
        <w:tc>
          <w:tcPr>
            <w:tcW w:w="1765" w:type="pct"/>
            <w:shd w:val="clear" w:color="auto" w:fill="DBE5F1" w:themeFill="accent1" w:themeFillTint="33"/>
            <w:hideMark/>
          </w:tcPr>
          <w:p w14:paraId="718AFABC" w14:textId="77777777" w:rsidR="004F0904" w:rsidRPr="00E345E1" w:rsidRDefault="001D7A2B">
            <w:pPr>
              <w:tabs>
                <w:tab w:val="left" w:pos="6450"/>
              </w:tabs>
              <w:rPr>
                <w:rFonts w:ascii="Calibri" w:hAnsi="Calibri" w:cs="Arial"/>
                <w:b/>
              </w:rPr>
            </w:pPr>
            <w:r w:rsidRPr="00E345E1">
              <w:rPr>
                <w:rFonts w:ascii="Calibri" w:hAnsi="Calibri" w:cs="Arial"/>
                <w:b/>
              </w:rPr>
              <w:t>Namn</w:t>
            </w:r>
          </w:p>
        </w:tc>
        <w:tc>
          <w:tcPr>
            <w:tcW w:w="430" w:type="pct"/>
            <w:shd w:val="clear" w:color="auto" w:fill="DBE5F1" w:themeFill="accent1" w:themeFillTint="33"/>
            <w:hideMark/>
          </w:tcPr>
          <w:p w14:paraId="7BC1EE89" w14:textId="77777777" w:rsidR="004F0904" w:rsidRPr="00E345E1" w:rsidRDefault="001D7A2B">
            <w:pPr>
              <w:tabs>
                <w:tab w:val="left" w:pos="6450"/>
              </w:tabs>
              <w:rPr>
                <w:rFonts w:ascii="Calibri" w:hAnsi="Calibri" w:cs="Arial"/>
                <w:b/>
              </w:rPr>
            </w:pPr>
            <w:r w:rsidRPr="00E345E1">
              <w:rPr>
                <w:rFonts w:ascii="Calibri" w:hAnsi="Calibri" w:cs="Arial"/>
                <w:b/>
              </w:rPr>
              <w:t>Värde</w:t>
            </w:r>
          </w:p>
        </w:tc>
        <w:tc>
          <w:tcPr>
            <w:tcW w:w="547" w:type="pct"/>
            <w:shd w:val="clear" w:color="auto" w:fill="DBE5F1" w:themeFill="accent1" w:themeFillTint="33"/>
            <w:hideMark/>
          </w:tcPr>
          <w:p w14:paraId="59E901DE" w14:textId="77777777" w:rsidR="004F0904" w:rsidRPr="00E345E1" w:rsidRDefault="001D7A2B">
            <w:pPr>
              <w:tabs>
                <w:tab w:val="left" w:pos="6450"/>
              </w:tabs>
              <w:rPr>
                <w:rFonts w:ascii="Calibri" w:hAnsi="Calibri" w:cs="Arial"/>
                <w:b/>
              </w:rPr>
            </w:pPr>
            <w:r w:rsidRPr="00E345E1">
              <w:rPr>
                <w:rFonts w:ascii="Calibri" w:hAnsi="Calibri" w:cs="Arial"/>
                <w:b/>
              </w:rPr>
              <w:t>Måttenhet</w:t>
            </w:r>
          </w:p>
        </w:tc>
        <w:tc>
          <w:tcPr>
            <w:tcW w:w="2259" w:type="pct"/>
            <w:shd w:val="clear" w:color="auto" w:fill="DBE5F1" w:themeFill="accent1" w:themeFillTint="33"/>
            <w:hideMark/>
          </w:tcPr>
          <w:p w14:paraId="5AF9847A" w14:textId="77777777" w:rsidR="004F0904" w:rsidRPr="0032117F" w:rsidRDefault="001D7A2B">
            <w:pPr>
              <w:tabs>
                <w:tab w:val="left" w:pos="6450"/>
              </w:tabs>
              <w:rPr>
                <w:rFonts w:ascii="Calibri" w:hAnsi="Calibri" w:cs="Arial"/>
                <w:b/>
              </w:rPr>
            </w:pPr>
            <w:r w:rsidRPr="00E345E1">
              <w:rPr>
                <w:rFonts w:ascii="Calibri" w:hAnsi="Calibri" w:cs="Arial"/>
                <w:b/>
              </w:rPr>
              <w:t>Kommentar</w:t>
            </w:r>
          </w:p>
        </w:tc>
      </w:tr>
      <w:tr w:rsidR="006D6F53" w14:paraId="3830B9FD" w14:textId="77777777" w:rsidTr="00133B41">
        <w:tblPrEx>
          <w:shd w:val="clear" w:color="auto" w:fill="auto"/>
        </w:tblPrEx>
        <w:tc>
          <w:tcPr>
            <w:tcW w:w="1765" w:type="pct"/>
            <w:tcBorders>
              <w:top w:val="dotted" w:sz="4" w:space="0" w:color="auto"/>
              <w:left w:val="dotted" w:sz="4" w:space="0" w:color="auto"/>
              <w:bottom w:val="dotted" w:sz="4" w:space="0" w:color="auto"/>
              <w:right w:val="dotted" w:sz="4" w:space="0" w:color="auto"/>
            </w:tcBorders>
            <w:hideMark/>
          </w:tcPr>
          <w:p w14:paraId="38266DE6" w14:textId="328E74F6" w:rsidR="000308C9" w:rsidRPr="008F01EE" w:rsidRDefault="001D7A2B" w:rsidP="00797976">
            <w:pPr>
              <w:jc w:val="left"/>
              <w:rPr>
                <w:rFonts w:ascii="Calibri" w:hAnsi="Calibri"/>
              </w:rPr>
            </w:pPr>
            <w:r>
              <w:rPr>
                <w:rFonts w:ascii="Calibri" w:hAnsi="Calibri"/>
              </w:rPr>
              <w:t xml:space="preserve">Företag som får stöd </w:t>
            </w:r>
          </w:p>
        </w:tc>
        <w:tc>
          <w:tcPr>
            <w:tcW w:w="430" w:type="pct"/>
            <w:tcBorders>
              <w:top w:val="dotted" w:sz="4" w:space="0" w:color="auto"/>
              <w:left w:val="dotted" w:sz="4" w:space="0" w:color="auto"/>
              <w:bottom w:val="dotted" w:sz="4" w:space="0" w:color="auto"/>
              <w:right w:val="dotted" w:sz="4" w:space="0" w:color="auto"/>
            </w:tcBorders>
            <w:hideMark/>
          </w:tcPr>
          <w:p w14:paraId="3552E560" w14:textId="77777777" w:rsidR="000308C9" w:rsidRPr="008F01EE" w:rsidRDefault="001D7A2B" w:rsidP="00797976">
            <w:pPr>
              <w:jc w:val="left"/>
              <w:rPr>
                <w:rFonts w:ascii="Calibri" w:hAnsi="Calibri"/>
              </w:rPr>
            </w:pPr>
            <w:r>
              <w:rPr>
                <w:rFonts w:ascii="Calibri" w:hAnsi="Calibri"/>
              </w:rPr>
              <w:t>6</w:t>
            </w:r>
          </w:p>
        </w:tc>
        <w:tc>
          <w:tcPr>
            <w:tcW w:w="547" w:type="pct"/>
            <w:tcBorders>
              <w:top w:val="dotted" w:sz="4" w:space="0" w:color="auto"/>
              <w:left w:val="dotted" w:sz="4" w:space="0" w:color="auto"/>
              <w:bottom w:val="dotted" w:sz="4" w:space="0" w:color="auto"/>
              <w:right w:val="dotted" w:sz="4" w:space="0" w:color="auto"/>
            </w:tcBorders>
            <w:hideMark/>
          </w:tcPr>
          <w:p w14:paraId="48365F07" w14:textId="77777777" w:rsidR="000308C9" w:rsidRPr="008F01EE" w:rsidRDefault="001D7A2B" w:rsidP="00797976">
            <w:pPr>
              <w:jc w:val="left"/>
              <w:rPr>
                <w:rFonts w:ascii="Calibri" w:hAnsi="Calibri"/>
              </w:rPr>
            </w:pPr>
            <w:r>
              <w:rPr>
                <w:rFonts w:ascii="Calibri" w:hAnsi="Calibri"/>
              </w:rPr>
              <w:t>Antal företag</w:t>
            </w:r>
          </w:p>
        </w:tc>
        <w:tc>
          <w:tcPr>
            <w:tcW w:w="2259" w:type="pct"/>
            <w:tcBorders>
              <w:top w:val="dotted" w:sz="4" w:space="0" w:color="auto"/>
              <w:left w:val="dotted" w:sz="4" w:space="0" w:color="auto"/>
              <w:bottom w:val="dotted" w:sz="4" w:space="0" w:color="auto"/>
              <w:right w:val="dotted" w:sz="4" w:space="0" w:color="auto"/>
            </w:tcBorders>
          </w:tcPr>
          <w:p w14:paraId="68E8707F" w14:textId="078C75C3" w:rsidR="000308C9" w:rsidRPr="008F01EE" w:rsidRDefault="000308C9" w:rsidP="00797976">
            <w:pPr>
              <w:jc w:val="left"/>
              <w:rPr>
                <w:rFonts w:ascii="Calibri" w:hAnsi="Calibri"/>
              </w:rPr>
            </w:pPr>
          </w:p>
        </w:tc>
      </w:tr>
      <w:tr w:rsidR="00BB07D7" w14:paraId="0737F571" w14:textId="77777777" w:rsidTr="00133B41">
        <w:tblPrEx>
          <w:shd w:val="clear" w:color="auto" w:fill="auto"/>
        </w:tblPrEx>
        <w:tc>
          <w:tcPr>
            <w:tcW w:w="1765" w:type="pct"/>
            <w:tcBorders>
              <w:top w:val="dotted" w:sz="4" w:space="0" w:color="auto"/>
              <w:left w:val="dotted" w:sz="4" w:space="0" w:color="auto"/>
              <w:bottom w:val="dotted" w:sz="4" w:space="0" w:color="auto"/>
              <w:right w:val="dotted" w:sz="4" w:space="0" w:color="auto"/>
            </w:tcBorders>
            <w:hideMark/>
          </w:tcPr>
          <w:p w14:paraId="6B573C23" w14:textId="77777777" w:rsidR="00BB07D7" w:rsidRPr="008F01EE" w:rsidRDefault="00BB07D7" w:rsidP="00BB07D7">
            <w:pPr>
              <w:jc w:val="left"/>
              <w:rPr>
                <w:rFonts w:ascii="Calibri" w:hAnsi="Calibri"/>
              </w:rPr>
            </w:pPr>
            <w:r>
              <w:rPr>
                <w:rFonts w:ascii="Calibri" w:hAnsi="Calibri"/>
              </w:rPr>
              <w:t>Företag som får icke-ekonomiskt stöd</w:t>
            </w:r>
          </w:p>
        </w:tc>
        <w:tc>
          <w:tcPr>
            <w:tcW w:w="430" w:type="pct"/>
            <w:tcBorders>
              <w:top w:val="dotted" w:sz="4" w:space="0" w:color="auto"/>
              <w:left w:val="dotted" w:sz="4" w:space="0" w:color="auto"/>
              <w:bottom w:val="dotted" w:sz="4" w:space="0" w:color="auto"/>
              <w:right w:val="dotted" w:sz="4" w:space="0" w:color="auto"/>
            </w:tcBorders>
            <w:hideMark/>
          </w:tcPr>
          <w:p w14:paraId="0CAB01DB" w14:textId="77777777" w:rsidR="00BB07D7" w:rsidRPr="008F01EE" w:rsidRDefault="00BB07D7" w:rsidP="00BB07D7">
            <w:pPr>
              <w:jc w:val="left"/>
              <w:rPr>
                <w:rFonts w:ascii="Calibri" w:hAnsi="Calibri"/>
              </w:rPr>
            </w:pPr>
            <w:r>
              <w:rPr>
                <w:rFonts w:ascii="Calibri" w:hAnsi="Calibri"/>
              </w:rPr>
              <w:t>6</w:t>
            </w:r>
          </w:p>
        </w:tc>
        <w:tc>
          <w:tcPr>
            <w:tcW w:w="547" w:type="pct"/>
            <w:tcBorders>
              <w:top w:val="dotted" w:sz="4" w:space="0" w:color="auto"/>
              <w:left w:val="dotted" w:sz="4" w:space="0" w:color="auto"/>
              <w:bottom w:val="dotted" w:sz="4" w:space="0" w:color="auto"/>
              <w:right w:val="dotted" w:sz="4" w:space="0" w:color="auto"/>
            </w:tcBorders>
            <w:hideMark/>
          </w:tcPr>
          <w:p w14:paraId="1772DAD8" w14:textId="77777777" w:rsidR="00BB07D7" w:rsidRPr="008F01EE" w:rsidRDefault="00BB07D7" w:rsidP="00BB07D7">
            <w:pPr>
              <w:jc w:val="left"/>
              <w:rPr>
                <w:rFonts w:ascii="Calibri" w:hAnsi="Calibri"/>
              </w:rPr>
            </w:pPr>
            <w:r>
              <w:rPr>
                <w:rFonts w:ascii="Calibri" w:hAnsi="Calibri"/>
              </w:rPr>
              <w:t>Antal företag</w:t>
            </w:r>
          </w:p>
        </w:tc>
        <w:tc>
          <w:tcPr>
            <w:tcW w:w="2259" w:type="pct"/>
            <w:tcBorders>
              <w:top w:val="dotted" w:sz="4" w:space="0" w:color="auto"/>
              <w:left w:val="dotted" w:sz="4" w:space="0" w:color="auto"/>
              <w:bottom w:val="dotted" w:sz="4" w:space="0" w:color="auto"/>
              <w:right w:val="dotted" w:sz="4" w:space="0" w:color="auto"/>
            </w:tcBorders>
          </w:tcPr>
          <w:p w14:paraId="2C42515C" w14:textId="29DAD96E" w:rsidR="00BB07D7" w:rsidRPr="008F01EE" w:rsidRDefault="00BB07D7" w:rsidP="00BB07D7">
            <w:pPr>
              <w:jc w:val="left"/>
              <w:rPr>
                <w:rFonts w:ascii="Calibri" w:hAnsi="Calibri"/>
              </w:rPr>
            </w:pPr>
            <w:r>
              <w:rPr>
                <w:rFonts w:ascii="Calibri" w:hAnsi="Calibri"/>
              </w:rPr>
              <w:t xml:space="preserve">Sex företag får stöd genom projektets aktiviteter. Av dessa är två Coala Solutions (SE) och CATE Medical </w:t>
            </w:r>
            <w:r>
              <w:rPr>
                <w:rFonts w:ascii="Calibri" w:hAnsi="Calibri"/>
              </w:rPr>
              <w:lastRenderedPageBreak/>
              <w:t xml:space="preserve">Devices (NO) som deltar direkt i teknikutveckling och prototypintegration. Därutöver inkluderas fyra företag som engageras via workshops, nätverksträffar och pilotaktiviteter. De får stöd i form av kunskap, metodik och tillgång till innovationsnätverket. </w:t>
            </w:r>
          </w:p>
        </w:tc>
      </w:tr>
      <w:tr w:rsidR="00BB07D7" w14:paraId="09BCA688" w14:textId="77777777" w:rsidTr="00133B41">
        <w:tblPrEx>
          <w:shd w:val="clear" w:color="auto" w:fill="auto"/>
        </w:tblPrEx>
        <w:tc>
          <w:tcPr>
            <w:tcW w:w="1765" w:type="pct"/>
            <w:tcBorders>
              <w:top w:val="dotted" w:sz="4" w:space="0" w:color="auto"/>
              <w:left w:val="dotted" w:sz="4" w:space="0" w:color="auto"/>
              <w:bottom w:val="dotted" w:sz="4" w:space="0" w:color="auto"/>
              <w:right w:val="dotted" w:sz="4" w:space="0" w:color="auto"/>
            </w:tcBorders>
            <w:hideMark/>
          </w:tcPr>
          <w:p w14:paraId="08CF9A50" w14:textId="77777777" w:rsidR="00BB07D7" w:rsidRPr="008F01EE" w:rsidRDefault="00BB07D7" w:rsidP="00BB07D7">
            <w:pPr>
              <w:jc w:val="left"/>
              <w:rPr>
                <w:rFonts w:ascii="Calibri" w:hAnsi="Calibri"/>
              </w:rPr>
            </w:pPr>
            <w:r>
              <w:rPr>
                <w:rFonts w:ascii="Calibri" w:hAnsi="Calibri"/>
              </w:rPr>
              <w:lastRenderedPageBreak/>
              <w:t>Företag som samarbetar med forskningsorganisationer</w:t>
            </w:r>
          </w:p>
        </w:tc>
        <w:tc>
          <w:tcPr>
            <w:tcW w:w="430" w:type="pct"/>
            <w:tcBorders>
              <w:top w:val="dotted" w:sz="4" w:space="0" w:color="auto"/>
              <w:left w:val="dotted" w:sz="4" w:space="0" w:color="auto"/>
              <w:bottom w:val="dotted" w:sz="4" w:space="0" w:color="auto"/>
              <w:right w:val="dotted" w:sz="4" w:space="0" w:color="auto"/>
            </w:tcBorders>
            <w:hideMark/>
          </w:tcPr>
          <w:p w14:paraId="1F5FB3A0" w14:textId="77777777" w:rsidR="00BB07D7" w:rsidRPr="008F01EE" w:rsidRDefault="00BB07D7" w:rsidP="00BB07D7">
            <w:pPr>
              <w:jc w:val="left"/>
              <w:rPr>
                <w:rFonts w:ascii="Calibri" w:hAnsi="Calibri"/>
              </w:rPr>
            </w:pPr>
            <w:r>
              <w:rPr>
                <w:rFonts w:ascii="Calibri" w:hAnsi="Calibri"/>
              </w:rPr>
              <w:t>2</w:t>
            </w:r>
          </w:p>
        </w:tc>
        <w:tc>
          <w:tcPr>
            <w:tcW w:w="547" w:type="pct"/>
            <w:tcBorders>
              <w:top w:val="dotted" w:sz="4" w:space="0" w:color="auto"/>
              <w:left w:val="dotted" w:sz="4" w:space="0" w:color="auto"/>
              <w:bottom w:val="dotted" w:sz="4" w:space="0" w:color="auto"/>
              <w:right w:val="dotted" w:sz="4" w:space="0" w:color="auto"/>
            </w:tcBorders>
            <w:hideMark/>
          </w:tcPr>
          <w:p w14:paraId="357ABC52" w14:textId="77777777" w:rsidR="00BB07D7" w:rsidRPr="008F01EE" w:rsidRDefault="00BB07D7" w:rsidP="00BB07D7">
            <w:pPr>
              <w:jc w:val="left"/>
              <w:rPr>
                <w:rFonts w:ascii="Calibri" w:hAnsi="Calibri"/>
              </w:rPr>
            </w:pPr>
            <w:r>
              <w:rPr>
                <w:rFonts w:ascii="Calibri" w:hAnsi="Calibri"/>
              </w:rPr>
              <w:t>Antal företag</w:t>
            </w:r>
          </w:p>
        </w:tc>
        <w:tc>
          <w:tcPr>
            <w:tcW w:w="2259" w:type="pct"/>
            <w:tcBorders>
              <w:top w:val="dotted" w:sz="4" w:space="0" w:color="auto"/>
              <w:left w:val="dotted" w:sz="4" w:space="0" w:color="auto"/>
              <w:bottom w:val="dotted" w:sz="4" w:space="0" w:color="auto"/>
              <w:right w:val="dotted" w:sz="4" w:space="0" w:color="auto"/>
            </w:tcBorders>
          </w:tcPr>
          <w:p w14:paraId="40975C4C" w14:textId="486C7F6E" w:rsidR="00BB07D7" w:rsidRPr="008F01EE" w:rsidRDefault="00BB07D7" w:rsidP="00BB07D7">
            <w:pPr>
              <w:jc w:val="left"/>
              <w:rPr>
                <w:rFonts w:ascii="Calibri" w:hAnsi="Calibri"/>
              </w:rPr>
            </w:pPr>
            <w:r>
              <w:rPr>
                <w:rFonts w:ascii="Calibri" w:hAnsi="Calibri"/>
              </w:rPr>
              <w:t>Företagen Coala Solutions och CATE Medical Devices.</w:t>
            </w:r>
          </w:p>
        </w:tc>
      </w:tr>
      <w:tr w:rsidR="00BB07D7" w14:paraId="450B171E" w14:textId="77777777" w:rsidTr="00133B41">
        <w:tblPrEx>
          <w:shd w:val="clear" w:color="auto" w:fill="auto"/>
        </w:tblPrEx>
        <w:tc>
          <w:tcPr>
            <w:tcW w:w="1765" w:type="pct"/>
            <w:tcBorders>
              <w:top w:val="dotted" w:sz="4" w:space="0" w:color="auto"/>
              <w:left w:val="dotted" w:sz="4" w:space="0" w:color="auto"/>
              <w:bottom w:val="dotted" w:sz="4" w:space="0" w:color="auto"/>
              <w:right w:val="dotted" w:sz="4" w:space="0" w:color="auto"/>
            </w:tcBorders>
            <w:hideMark/>
          </w:tcPr>
          <w:p w14:paraId="254D577F" w14:textId="77777777" w:rsidR="00BB07D7" w:rsidRPr="008F01EE" w:rsidRDefault="00BB07D7" w:rsidP="00BB07D7">
            <w:pPr>
              <w:jc w:val="left"/>
              <w:rPr>
                <w:rFonts w:ascii="Calibri" w:hAnsi="Calibri"/>
              </w:rPr>
            </w:pPr>
            <w:r>
              <w:rPr>
                <w:rFonts w:ascii="Calibri" w:hAnsi="Calibri"/>
              </w:rPr>
              <w:t>Gemensamt utarbetade strategier och handlingsplaner</w:t>
            </w:r>
          </w:p>
        </w:tc>
        <w:tc>
          <w:tcPr>
            <w:tcW w:w="430" w:type="pct"/>
            <w:tcBorders>
              <w:top w:val="dotted" w:sz="4" w:space="0" w:color="auto"/>
              <w:left w:val="dotted" w:sz="4" w:space="0" w:color="auto"/>
              <w:bottom w:val="dotted" w:sz="4" w:space="0" w:color="auto"/>
              <w:right w:val="dotted" w:sz="4" w:space="0" w:color="auto"/>
            </w:tcBorders>
            <w:hideMark/>
          </w:tcPr>
          <w:p w14:paraId="23225D6F" w14:textId="77777777" w:rsidR="00BB07D7" w:rsidRPr="008F01EE" w:rsidRDefault="00BB07D7" w:rsidP="00BB07D7">
            <w:pPr>
              <w:jc w:val="left"/>
              <w:rPr>
                <w:rFonts w:ascii="Calibri" w:hAnsi="Calibri"/>
              </w:rPr>
            </w:pPr>
            <w:r>
              <w:rPr>
                <w:rFonts w:ascii="Calibri" w:hAnsi="Calibri"/>
              </w:rPr>
              <w:t>1</w:t>
            </w:r>
          </w:p>
        </w:tc>
        <w:tc>
          <w:tcPr>
            <w:tcW w:w="547" w:type="pct"/>
            <w:tcBorders>
              <w:top w:val="dotted" w:sz="4" w:space="0" w:color="auto"/>
              <w:left w:val="dotted" w:sz="4" w:space="0" w:color="auto"/>
              <w:bottom w:val="dotted" w:sz="4" w:space="0" w:color="auto"/>
              <w:right w:val="dotted" w:sz="4" w:space="0" w:color="auto"/>
            </w:tcBorders>
            <w:hideMark/>
          </w:tcPr>
          <w:p w14:paraId="78672AEF" w14:textId="77777777" w:rsidR="00BB07D7" w:rsidRPr="008F01EE" w:rsidRDefault="00BB07D7" w:rsidP="00BB07D7">
            <w:pPr>
              <w:jc w:val="left"/>
              <w:rPr>
                <w:rFonts w:ascii="Calibri" w:hAnsi="Calibri"/>
              </w:rPr>
            </w:pPr>
            <w:r>
              <w:rPr>
                <w:rFonts w:ascii="Calibri" w:hAnsi="Calibri"/>
              </w:rPr>
              <w:t>Stycken</w:t>
            </w:r>
          </w:p>
        </w:tc>
        <w:tc>
          <w:tcPr>
            <w:tcW w:w="2259" w:type="pct"/>
            <w:tcBorders>
              <w:top w:val="dotted" w:sz="4" w:space="0" w:color="auto"/>
              <w:left w:val="dotted" w:sz="4" w:space="0" w:color="auto"/>
              <w:bottom w:val="dotted" w:sz="4" w:space="0" w:color="auto"/>
              <w:right w:val="dotted" w:sz="4" w:space="0" w:color="auto"/>
            </w:tcBorders>
          </w:tcPr>
          <w:p w14:paraId="28E71B32" w14:textId="5D2E9F00" w:rsidR="00BB07D7" w:rsidRPr="008F01EE" w:rsidRDefault="00BB07D7" w:rsidP="00BB07D7">
            <w:pPr>
              <w:jc w:val="left"/>
              <w:rPr>
                <w:rFonts w:ascii="Calibri" w:hAnsi="Calibri"/>
              </w:rPr>
            </w:pPr>
            <w:r>
              <w:rPr>
                <w:rFonts w:ascii="Calibri" w:hAnsi="Calibri"/>
              </w:rPr>
              <w:t xml:space="preserve">Gemensam strategi/handlingsplan för implementering och fortsatt utveckling av multimodal AI för hjärt- och hjärnmonitorering. </w:t>
            </w:r>
          </w:p>
        </w:tc>
      </w:tr>
    </w:tbl>
    <w:p w14:paraId="7049D924" w14:textId="77777777" w:rsidR="00133B41" w:rsidRDefault="00133B41" w:rsidP="00EE4D0F">
      <w:pPr>
        <w:rPr>
          <w:rFonts w:ascii="Calibri" w:hAnsi="Calibri"/>
          <w:b/>
          <w:bCs/>
          <w:sz w:val="28"/>
          <w:szCs w:val="28"/>
        </w:rPr>
      </w:pPr>
    </w:p>
    <w:p w14:paraId="69592D24" w14:textId="46E75033" w:rsidR="002901E7" w:rsidRPr="00C14338" w:rsidRDefault="001D7A2B" w:rsidP="00EE4D0F">
      <w:pPr>
        <w:rPr>
          <w:rFonts w:ascii="Calibri" w:hAnsi="Calibri"/>
          <w:b/>
          <w:sz w:val="28"/>
          <w:szCs w:val="28"/>
        </w:rPr>
      </w:pPr>
      <w:r w:rsidRPr="00C14338">
        <w:rPr>
          <w:rFonts w:ascii="Calibri" w:hAnsi="Calibri"/>
          <w:b/>
          <w:sz w:val="28"/>
          <w:szCs w:val="28"/>
        </w:rPr>
        <w:t>Ekonomi</w:t>
      </w:r>
    </w:p>
    <w:p w14:paraId="4C3B1F3E" w14:textId="77777777" w:rsidR="00C038B8" w:rsidRPr="004E2584" w:rsidRDefault="001D7A2B" w:rsidP="00EE4D0F">
      <w:pPr>
        <w:rPr>
          <w:rFonts w:ascii="Calibri" w:hAnsi="Calibri"/>
          <w:b/>
          <w:sz w:val="22"/>
          <w:szCs w:val="22"/>
        </w:rPr>
      </w:pPr>
      <w:r w:rsidRPr="004E2584">
        <w:rPr>
          <w:rFonts w:ascii="Calibri" w:hAnsi="Calibri"/>
          <w:b/>
          <w:sz w:val="22"/>
          <w:szCs w:val="22"/>
        </w:rPr>
        <w:t>Kostnadsbudget</w:t>
      </w:r>
      <w:r w:rsidR="00F17877" w:rsidRPr="004E2584">
        <w:rPr>
          <w:rFonts w:ascii="Calibri" w:hAnsi="Calibri"/>
          <w:b/>
          <w:sz w:val="22"/>
          <w:szCs w:val="22"/>
        </w:rPr>
        <w:t xml:space="preserve"> Sverige (totalt för projektperioden)</w:t>
      </w:r>
    </w:p>
    <w:tbl>
      <w:tblPr>
        <w:tblStyle w:val="Tabellrutenett"/>
        <w:tblW w:w="5000" w:type="pct"/>
        <w:tblLook w:val="04A0" w:firstRow="1" w:lastRow="0" w:firstColumn="1" w:lastColumn="0" w:noHBand="0" w:noVBand="1"/>
      </w:tblPr>
      <w:tblGrid>
        <w:gridCol w:w="4487"/>
        <w:gridCol w:w="1927"/>
        <w:gridCol w:w="2081"/>
      </w:tblGrid>
      <w:tr w:rsidR="00072163" w14:paraId="619E23A9" w14:textId="77777777" w:rsidTr="00BB07D7">
        <w:trPr>
          <w:tblHeader/>
        </w:trPr>
        <w:tc>
          <w:tcPr>
            <w:tcW w:w="2641" w:type="pct"/>
            <w:shd w:val="clear" w:color="auto" w:fill="DBE5F1" w:themeFill="accent1" w:themeFillTint="33"/>
          </w:tcPr>
          <w:p w14:paraId="132A6139" w14:textId="77777777" w:rsidR="00072163" w:rsidRPr="002C529A" w:rsidRDefault="00072163" w:rsidP="00F6368E">
            <w:pPr>
              <w:jc w:val="left"/>
              <w:rPr>
                <w:rFonts w:asciiTheme="minorHAnsi" w:hAnsiTheme="minorHAnsi"/>
                <w:b/>
              </w:rPr>
            </w:pPr>
            <w:r>
              <w:rPr>
                <w:rFonts w:asciiTheme="minorHAnsi" w:hAnsiTheme="minorHAnsi"/>
                <w:b/>
              </w:rPr>
              <w:t>Kostnadsslag</w:t>
            </w:r>
          </w:p>
        </w:tc>
        <w:tc>
          <w:tcPr>
            <w:tcW w:w="1134" w:type="pct"/>
            <w:shd w:val="clear" w:color="auto" w:fill="DBE5F1" w:themeFill="accent1" w:themeFillTint="33"/>
          </w:tcPr>
          <w:p w14:paraId="5BE0770F" w14:textId="77777777" w:rsidR="00072163" w:rsidRPr="002C529A" w:rsidRDefault="00072163" w:rsidP="00F6368E">
            <w:pPr>
              <w:jc w:val="right"/>
              <w:rPr>
                <w:rFonts w:asciiTheme="minorHAnsi" w:hAnsiTheme="minorHAnsi"/>
                <w:b/>
              </w:rPr>
            </w:pPr>
            <w:r>
              <w:rPr>
                <w:rFonts w:asciiTheme="minorHAnsi" w:hAnsiTheme="minorHAnsi"/>
                <w:b/>
              </w:rPr>
              <w:t>MITTUNIVERSITETET</w:t>
            </w:r>
          </w:p>
        </w:tc>
        <w:tc>
          <w:tcPr>
            <w:tcW w:w="1225" w:type="pct"/>
            <w:shd w:val="clear" w:color="auto" w:fill="DBE5F1" w:themeFill="accent1" w:themeFillTint="33"/>
          </w:tcPr>
          <w:p w14:paraId="0824205F" w14:textId="77777777" w:rsidR="00072163" w:rsidRDefault="00072163" w:rsidP="00F6368E">
            <w:pPr>
              <w:jc w:val="right"/>
              <w:rPr>
                <w:rFonts w:asciiTheme="minorHAnsi" w:hAnsiTheme="minorHAnsi"/>
                <w:b/>
              </w:rPr>
            </w:pPr>
            <w:r>
              <w:rPr>
                <w:rFonts w:asciiTheme="minorHAnsi" w:hAnsiTheme="minorHAnsi"/>
                <w:b/>
              </w:rPr>
              <w:t>Totalt</w:t>
            </w:r>
          </w:p>
          <w:p w14:paraId="6CFA83C6" w14:textId="77777777" w:rsidR="00072163" w:rsidRPr="002C529A" w:rsidRDefault="00072163" w:rsidP="00F6368E">
            <w:pPr>
              <w:jc w:val="right"/>
              <w:rPr>
                <w:rFonts w:asciiTheme="minorHAnsi" w:hAnsiTheme="minorHAnsi"/>
                <w:b/>
              </w:rPr>
            </w:pPr>
            <w:r w:rsidRPr="002C529A">
              <w:rPr>
                <w:rFonts w:asciiTheme="minorHAnsi" w:hAnsiTheme="minorHAnsi"/>
                <w:b/>
              </w:rPr>
              <w:t>EUR</w:t>
            </w:r>
          </w:p>
        </w:tc>
      </w:tr>
      <w:tr w:rsidR="00072163" w14:paraId="1DD8389A" w14:textId="77777777" w:rsidTr="00BB07D7">
        <w:tc>
          <w:tcPr>
            <w:tcW w:w="2641" w:type="pct"/>
          </w:tcPr>
          <w:p w14:paraId="0ACAF76B" w14:textId="77777777" w:rsidR="00072163" w:rsidRPr="002C529A" w:rsidRDefault="00072163" w:rsidP="00F6368E">
            <w:pPr>
              <w:jc w:val="left"/>
              <w:rPr>
                <w:rFonts w:asciiTheme="minorHAnsi" w:hAnsiTheme="minorHAnsi"/>
              </w:rPr>
            </w:pPr>
            <w:r>
              <w:rPr>
                <w:rFonts w:asciiTheme="minorHAnsi" w:hAnsiTheme="minorHAnsi"/>
              </w:rPr>
              <w:t>Personal</w:t>
            </w:r>
          </w:p>
        </w:tc>
        <w:tc>
          <w:tcPr>
            <w:tcW w:w="1134" w:type="pct"/>
          </w:tcPr>
          <w:p w14:paraId="2782825D" w14:textId="77777777" w:rsidR="00072163" w:rsidRPr="00072163" w:rsidRDefault="00072163" w:rsidP="00F6368E">
            <w:pPr>
              <w:jc w:val="right"/>
              <w:rPr>
                <w:rFonts w:asciiTheme="minorHAnsi" w:hAnsiTheme="minorHAnsi"/>
                <w:bCs/>
              </w:rPr>
            </w:pPr>
            <w:r w:rsidRPr="00072163">
              <w:rPr>
                <w:rFonts w:asciiTheme="minorHAnsi" w:hAnsiTheme="minorHAnsi"/>
                <w:bCs/>
              </w:rPr>
              <w:t>481 802</w:t>
            </w:r>
          </w:p>
        </w:tc>
        <w:tc>
          <w:tcPr>
            <w:tcW w:w="1225" w:type="pct"/>
            <w:vAlign w:val="bottom"/>
          </w:tcPr>
          <w:p w14:paraId="78242624" w14:textId="77777777" w:rsidR="00072163" w:rsidRPr="002C529A" w:rsidRDefault="00072163" w:rsidP="00F6368E">
            <w:pPr>
              <w:jc w:val="right"/>
              <w:rPr>
                <w:rFonts w:asciiTheme="minorHAnsi" w:hAnsiTheme="minorHAnsi"/>
                <w:b/>
              </w:rPr>
            </w:pPr>
            <w:r>
              <w:rPr>
                <w:rFonts w:asciiTheme="minorHAnsi" w:hAnsiTheme="minorHAnsi"/>
                <w:b/>
              </w:rPr>
              <w:t>481 802</w:t>
            </w:r>
          </w:p>
        </w:tc>
      </w:tr>
      <w:tr w:rsidR="00072163" w14:paraId="77905B0E" w14:textId="77777777" w:rsidTr="00BB07D7">
        <w:tc>
          <w:tcPr>
            <w:tcW w:w="2641" w:type="pct"/>
          </w:tcPr>
          <w:p w14:paraId="0B0039CD" w14:textId="77777777" w:rsidR="00072163" w:rsidRPr="002C529A" w:rsidRDefault="00072163" w:rsidP="00F6368E">
            <w:pPr>
              <w:jc w:val="left"/>
              <w:rPr>
                <w:rFonts w:asciiTheme="minorHAnsi" w:hAnsiTheme="minorHAnsi"/>
              </w:rPr>
            </w:pPr>
            <w:r>
              <w:rPr>
                <w:rFonts w:asciiTheme="minorHAnsi" w:hAnsiTheme="minorHAnsi"/>
              </w:rPr>
              <w:t>Övriga kostnader 40%</w:t>
            </w:r>
          </w:p>
        </w:tc>
        <w:tc>
          <w:tcPr>
            <w:tcW w:w="1134" w:type="pct"/>
          </w:tcPr>
          <w:p w14:paraId="22B61663" w14:textId="77777777" w:rsidR="00072163" w:rsidRPr="00072163" w:rsidRDefault="00072163" w:rsidP="00F6368E">
            <w:pPr>
              <w:jc w:val="right"/>
              <w:rPr>
                <w:rFonts w:asciiTheme="minorHAnsi" w:hAnsiTheme="minorHAnsi"/>
                <w:bCs/>
              </w:rPr>
            </w:pPr>
            <w:r w:rsidRPr="00072163">
              <w:rPr>
                <w:rFonts w:asciiTheme="minorHAnsi" w:hAnsiTheme="minorHAnsi"/>
                <w:bCs/>
              </w:rPr>
              <w:t>192 721</w:t>
            </w:r>
          </w:p>
        </w:tc>
        <w:tc>
          <w:tcPr>
            <w:tcW w:w="1225" w:type="pct"/>
            <w:vAlign w:val="bottom"/>
          </w:tcPr>
          <w:p w14:paraId="08BA8BC3" w14:textId="77777777" w:rsidR="00072163" w:rsidRPr="002C529A" w:rsidRDefault="00072163" w:rsidP="00F6368E">
            <w:pPr>
              <w:jc w:val="right"/>
              <w:rPr>
                <w:rFonts w:asciiTheme="minorHAnsi" w:hAnsiTheme="minorHAnsi"/>
                <w:b/>
              </w:rPr>
            </w:pPr>
            <w:r>
              <w:rPr>
                <w:rFonts w:asciiTheme="minorHAnsi" w:hAnsiTheme="minorHAnsi"/>
                <w:b/>
              </w:rPr>
              <w:t>192 721</w:t>
            </w:r>
          </w:p>
        </w:tc>
      </w:tr>
      <w:tr w:rsidR="00072163" w14:paraId="4C3D2591" w14:textId="77777777" w:rsidTr="00BB07D7">
        <w:tc>
          <w:tcPr>
            <w:tcW w:w="2641" w:type="pct"/>
          </w:tcPr>
          <w:p w14:paraId="05D9DC94" w14:textId="77777777" w:rsidR="00072163" w:rsidRPr="002C529A" w:rsidRDefault="00072163" w:rsidP="00F6368E">
            <w:pPr>
              <w:jc w:val="left"/>
              <w:rPr>
                <w:rFonts w:asciiTheme="minorHAnsi" w:hAnsiTheme="minorHAnsi"/>
                <w:b/>
              </w:rPr>
            </w:pPr>
            <w:r w:rsidRPr="002C529A">
              <w:rPr>
                <w:rFonts w:asciiTheme="minorHAnsi" w:hAnsiTheme="minorHAnsi"/>
                <w:b/>
              </w:rPr>
              <w:t>Total kostnad Sverige</w:t>
            </w:r>
          </w:p>
        </w:tc>
        <w:tc>
          <w:tcPr>
            <w:tcW w:w="1134" w:type="pct"/>
          </w:tcPr>
          <w:p w14:paraId="11EFCBAC" w14:textId="77777777" w:rsidR="00072163" w:rsidRPr="002C529A" w:rsidRDefault="00072163" w:rsidP="00F6368E">
            <w:pPr>
              <w:jc w:val="right"/>
              <w:rPr>
                <w:rFonts w:asciiTheme="minorHAnsi" w:hAnsiTheme="minorHAnsi"/>
                <w:b/>
              </w:rPr>
            </w:pPr>
            <w:r>
              <w:rPr>
                <w:rFonts w:asciiTheme="minorHAnsi" w:hAnsiTheme="minorHAnsi"/>
                <w:b/>
              </w:rPr>
              <w:t>674 523</w:t>
            </w:r>
          </w:p>
        </w:tc>
        <w:tc>
          <w:tcPr>
            <w:tcW w:w="1225" w:type="pct"/>
            <w:vAlign w:val="bottom"/>
          </w:tcPr>
          <w:p w14:paraId="550C198D" w14:textId="77777777" w:rsidR="00072163" w:rsidRPr="002C529A" w:rsidRDefault="00072163" w:rsidP="00F6368E">
            <w:pPr>
              <w:jc w:val="right"/>
              <w:rPr>
                <w:rFonts w:asciiTheme="minorHAnsi" w:hAnsiTheme="minorHAnsi"/>
                <w:b/>
              </w:rPr>
            </w:pPr>
            <w:r>
              <w:rPr>
                <w:rFonts w:asciiTheme="minorHAnsi" w:hAnsiTheme="minorHAnsi"/>
                <w:b/>
              </w:rPr>
              <w:t>674 523</w:t>
            </w:r>
          </w:p>
        </w:tc>
      </w:tr>
    </w:tbl>
    <w:p w14:paraId="60D7025E" w14:textId="77777777" w:rsidR="00C038B8" w:rsidRPr="004E2584" w:rsidRDefault="00C038B8" w:rsidP="00EE4D0F">
      <w:pPr>
        <w:rPr>
          <w:rFonts w:ascii="Calibri" w:hAnsi="Calibri"/>
          <w:sz w:val="22"/>
          <w:szCs w:val="22"/>
        </w:rPr>
      </w:pPr>
    </w:p>
    <w:p w14:paraId="3382B00F" w14:textId="77777777" w:rsidR="00F17877" w:rsidRPr="004E2584" w:rsidRDefault="001D7A2B" w:rsidP="00EE4D0F">
      <w:pPr>
        <w:rPr>
          <w:rFonts w:ascii="Calibri" w:hAnsi="Calibri"/>
          <w:b/>
          <w:sz w:val="22"/>
          <w:szCs w:val="22"/>
        </w:rPr>
      </w:pPr>
      <w:r w:rsidRPr="004E2584">
        <w:rPr>
          <w:rFonts w:ascii="Calibri" w:hAnsi="Calibri"/>
          <w:b/>
          <w:sz w:val="22"/>
          <w:szCs w:val="22"/>
        </w:rPr>
        <w:t>Finansiering Sverige (totalt för projektperioden)</w:t>
      </w:r>
    </w:p>
    <w:tbl>
      <w:tblPr>
        <w:tblStyle w:val="Tabellrutenett"/>
        <w:tblW w:w="5000" w:type="pct"/>
        <w:tblLook w:val="04A0" w:firstRow="1" w:lastRow="0" w:firstColumn="1" w:lastColumn="0" w:noHBand="0" w:noVBand="1"/>
      </w:tblPr>
      <w:tblGrid>
        <w:gridCol w:w="4489"/>
        <w:gridCol w:w="1927"/>
        <w:gridCol w:w="2079"/>
      </w:tblGrid>
      <w:tr w:rsidR="00072163" w14:paraId="2992E8EF" w14:textId="77777777" w:rsidTr="00072163">
        <w:trPr>
          <w:tblHeader/>
        </w:trPr>
        <w:tc>
          <w:tcPr>
            <w:tcW w:w="2667" w:type="pct"/>
            <w:shd w:val="clear" w:color="auto" w:fill="DBE5F1" w:themeFill="accent1" w:themeFillTint="33"/>
            <w:hideMark/>
          </w:tcPr>
          <w:p w14:paraId="37A8F61C" w14:textId="77777777" w:rsidR="00072163" w:rsidRPr="003277AF" w:rsidRDefault="00072163" w:rsidP="002F0C57">
            <w:pPr>
              <w:jc w:val="left"/>
              <w:rPr>
                <w:rFonts w:asciiTheme="minorHAnsi" w:hAnsiTheme="minorHAnsi" w:cs="Arial"/>
                <w:b/>
              </w:rPr>
            </w:pPr>
            <w:r>
              <w:rPr>
                <w:rFonts w:asciiTheme="minorHAnsi" w:hAnsiTheme="minorHAnsi" w:cs="Arial"/>
                <w:b/>
              </w:rPr>
              <w:t>Finansiär</w:t>
            </w:r>
          </w:p>
        </w:tc>
        <w:tc>
          <w:tcPr>
            <w:tcW w:w="1085" w:type="pct"/>
            <w:shd w:val="clear" w:color="auto" w:fill="DBE5F1" w:themeFill="accent1" w:themeFillTint="33"/>
          </w:tcPr>
          <w:p w14:paraId="67F64EA9" w14:textId="77777777" w:rsidR="00072163" w:rsidRPr="003277AF" w:rsidRDefault="00072163" w:rsidP="0077368C">
            <w:pPr>
              <w:jc w:val="right"/>
              <w:rPr>
                <w:rFonts w:asciiTheme="minorHAnsi" w:hAnsiTheme="minorHAnsi" w:cs="Arial"/>
                <w:b/>
              </w:rPr>
            </w:pPr>
            <w:r>
              <w:rPr>
                <w:rFonts w:asciiTheme="minorHAnsi" w:hAnsiTheme="minorHAnsi" w:cs="Arial"/>
                <w:b/>
              </w:rPr>
              <w:t>MITTUNIVERSITETET</w:t>
            </w:r>
          </w:p>
        </w:tc>
        <w:tc>
          <w:tcPr>
            <w:tcW w:w="1248" w:type="pct"/>
            <w:shd w:val="clear" w:color="auto" w:fill="DBE5F1" w:themeFill="accent1" w:themeFillTint="33"/>
            <w:hideMark/>
          </w:tcPr>
          <w:p w14:paraId="317A4BA6" w14:textId="77777777" w:rsidR="00072163" w:rsidRDefault="00072163" w:rsidP="0077368C">
            <w:pPr>
              <w:jc w:val="right"/>
              <w:rPr>
                <w:rFonts w:asciiTheme="minorHAnsi" w:hAnsiTheme="minorHAnsi" w:cs="Arial"/>
                <w:b/>
              </w:rPr>
            </w:pPr>
            <w:r>
              <w:rPr>
                <w:rFonts w:asciiTheme="minorHAnsi" w:hAnsiTheme="minorHAnsi" w:cs="Arial"/>
                <w:b/>
              </w:rPr>
              <w:t>Totalt</w:t>
            </w:r>
          </w:p>
          <w:p w14:paraId="3BB4FE77" w14:textId="77777777" w:rsidR="00072163" w:rsidRPr="003277AF" w:rsidRDefault="00072163" w:rsidP="0077368C">
            <w:pPr>
              <w:jc w:val="right"/>
              <w:rPr>
                <w:rFonts w:asciiTheme="minorHAnsi" w:hAnsiTheme="minorHAnsi" w:cs="Arial"/>
                <w:b/>
              </w:rPr>
            </w:pPr>
            <w:r w:rsidRPr="003277AF">
              <w:rPr>
                <w:rFonts w:asciiTheme="minorHAnsi" w:hAnsiTheme="minorHAnsi" w:cs="Arial"/>
                <w:b/>
              </w:rPr>
              <w:t>EUR</w:t>
            </w:r>
          </w:p>
        </w:tc>
      </w:tr>
      <w:tr w:rsidR="00072163" w14:paraId="6983FDFB" w14:textId="77777777" w:rsidTr="00072163">
        <w:tc>
          <w:tcPr>
            <w:tcW w:w="2667" w:type="pct"/>
          </w:tcPr>
          <w:p w14:paraId="03FEDA2A" w14:textId="77777777" w:rsidR="00072163" w:rsidRPr="003277AF" w:rsidRDefault="00072163" w:rsidP="00E101FD">
            <w:pPr>
              <w:jc w:val="left"/>
              <w:rPr>
                <w:rFonts w:asciiTheme="minorHAnsi" w:hAnsiTheme="minorHAnsi" w:cs="Arial"/>
                <w:b/>
              </w:rPr>
            </w:pPr>
            <w:r w:rsidRPr="003277AF">
              <w:rPr>
                <w:rFonts w:asciiTheme="minorHAnsi" w:hAnsiTheme="minorHAnsi" w:cs="Arial"/>
                <w:b/>
              </w:rPr>
              <w:t>EU-medel</w:t>
            </w:r>
          </w:p>
        </w:tc>
        <w:tc>
          <w:tcPr>
            <w:tcW w:w="1085" w:type="pct"/>
          </w:tcPr>
          <w:p w14:paraId="63043FB8" w14:textId="77777777" w:rsidR="00072163" w:rsidRPr="003277AF" w:rsidRDefault="00072163" w:rsidP="00E101FD">
            <w:pPr>
              <w:jc w:val="right"/>
              <w:rPr>
                <w:rFonts w:asciiTheme="minorHAnsi" w:hAnsiTheme="minorHAnsi" w:cs="Arial"/>
                <w:b/>
              </w:rPr>
            </w:pPr>
            <w:r>
              <w:rPr>
                <w:rFonts w:asciiTheme="minorHAnsi" w:hAnsiTheme="minorHAnsi" w:cs="Arial"/>
                <w:b/>
              </w:rPr>
              <w:t>438 440</w:t>
            </w:r>
          </w:p>
        </w:tc>
        <w:tc>
          <w:tcPr>
            <w:tcW w:w="1248" w:type="pct"/>
          </w:tcPr>
          <w:p w14:paraId="19E7B7D4" w14:textId="77777777" w:rsidR="00072163" w:rsidRPr="003277AF" w:rsidRDefault="00072163" w:rsidP="00E101FD">
            <w:pPr>
              <w:jc w:val="right"/>
              <w:rPr>
                <w:rFonts w:asciiTheme="minorHAnsi" w:hAnsiTheme="minorHAnsi" w:cs="Arial"/>
                <w:b/>
              </w:rPr>
            </w:pPr>
            <w:r>
              <w:rPr>
                <w:rFonts w:asciiTheme="minorHAnsi" w:hAnsiTheme="minorHAnsi" w:cs="Arial"/>
                <w:b/>
              </w:rPr>
              <w:t>438 440</w:t>
            </w:r>
          </w:p>
        </w:tc>
      </w:tr>
      <w:tr w:rsidR="00072163" w14:paraId="675B4552" w14:textId="77777777" w:rsidTr="00072163">
        <w:tc>
          <w:tcPr>
            <w:tcW w:w="2667" w:type="pct"/>
          </w:tcPr>
          <w:p w14:paraId="07B36858" w14:textId="77777777" w:rsidR="00072163" w:rsidRPr="003277AF" w:rsidRDefault="00072163" w:rsidP="00E101FD">
            <w:pPr>
              <w:jc w:val="left"/>
              <w:rPr>
                <w:rFonts w:asciiTheme="minorHAnsi" w:hAnsiTheme="minorHAnsi" w:cs="Arial"/>
                <w:b/>
              </w:rPr>
            </w:pPr>
            <w:r w:rsidRPr="003277AF">
              <w:rPr>
                <w:rFonts w:asciiTheme="minorHAnsi" w:hAnsiTheme="minorHAnsi" w:cs="Arial"/>
                <w:b/>
              </w:rPr>
              <w:t>Offentlig kontantfinansiering:</w:t>
            </w:r>
          </w:p>
        </w:tc>
        <w:tc>
          <w:tcPr>
            <w:tcW w:w="1085" w:type="pct"/>
          </w:tcPr>
          <w:p w14:paraId="08B6A980" w14:textId="77777777" w:rsidR="00072163" w:rsidRPr="003277AF" w:rsidRDefault="00072163" w:rsidP="00E101FD">
            <w:pPr>
              <w:jc w:val="right"/>
              <w:rPr>
                <w:rFonts w:asciiTheme="minorHAnsi" w:hAnsiTheme="minorHAnsi" w:cs="Arial"/>
                <w:b/>
              </w:rPr>
            </w:pPr>
            <w:r>
              <w:rPr>
                <w:rFonts w:asciiTheme="minorHAnsi" w:hAnsiTheme="minorHAnsi" w:cs="Arial"/>
                <w:b/>
              </w:rPr>
              <w:t>236 083</w:t>
            </w:r>
          </w:p>
        </w:tc>
        <w:tc>
          <w:tcPr>
            <w:tcW w:w="1248" w:type="pct"/>
          </w:tcPr>
          <w:p w14:paraId="08E57F8F" w14:textId="77777777" w:rsidR="00072163" w:rsidRPr="003277AF" w:rsidRDefault="00072163" w:rsidP="00E101FD">
            <w:pPr>
              <w:jc w:val="right"/>
              <w:rPr>
                <w:rFonts w:asciiTheme="minorHAnsi" w:hAnsiTheme="minorHAnsi" w:cs="Arial"/>
                <w:b/>
              </w:rPr>
            </w:pPr>
            <w:r>
              <w:rPr>
                <w:rFonts w:asciiTheme="minorHAnsi" w:hAnsiTheme="minorHAnsi" w:cs="Arial"/>
                <w:b/>
              </w:rPr>
              <w:t>236 083</w:t>
            </w:r>
          </w:p>
        </w:tc>
      </w:tr>
      <w:tr w:rsidR="00072163" w14:paraId="18EF48BF" w14:textId="77777777" w:rsidTr="00072163">
        <w:tc>
          <w:tcPr>
            <w:tcW w:w="2667" w:type="pct"/>
          </w:tcPr>
          <w:p w14:paraId="337F59B8" w14:textId="77777777" w:rsidR="00072163" w:rsidRPr="003277AF" w:rsidRDefault="00072163" w:rsidP="00701F56">
            <w:pPr>
              <w:jc w:val="left"/>
              <w:rPr>
                <w:rFonts w:asciiTheme="minorHAnsi" w:hAnsiTheme="minorHAnsi" w:cs="Arial"/>
              </w:rPr>
            </w:pPr>
            <w:r>
              <w:rPr>
                <w:rFonts w:asciiTheme="minorHAnsi" w:hAnsiTheme="minorHAnsi" w:cs="Arial"/>
              </w:rPr>
              <w:t>Mittuniversitetet</w:t>
            </w:r>
          </w:p>
        </w:tc>
        <w:tc>
          <w:tcPr>
            <w:tcW w:w="1085" w:type="pct"/>
          </w:tcPr>
          <w:p w14:paraId="37A1B625" w14:textId="77777777" w:rsidR="00072163" w:rsidRPr="003277AF" w:rsidRDefault="00072163" w:rsidP="00701F56">
            <w:pPr>
              <w:jc w:val="right"/>
              <w:rPr>
                <w:rFonts w:asciiTheme="minorHAnsi" w:hAnsiTheme="minorHAnsi" w:cs="Arial"/>
              </w:rPr>
            </w:pPr>
            <w:r>
              <w:rPr>
                <w:rFonts w:asciiTheme="minorHAnsi" w:hAnsiTheme="minorHAnsi" w:cs="Arial"/>
              </w:rPr>
              <w:t>236 083</w:t>
            </w:r>
          </w:p>
        </w:tc>
        <w:tc>
          <w:tcPr>
            <w:tcW w:w="1248" w:type="pct"/>
            <w:vAlign w:val="bottom"/>
          </w:tcPr>
          <w:p w14:paraId="26FB7CCB" w14:textId="77777777" w:rsidR="00072163" w:rsidRPr="003277AF" w:rsidRDefault="00072163" w:rsidP="00701F56">
            <w:pPr>
              <w:jc w:val="right"/>
              <w:rPr>
                <w:rFonts w:asciiTheme="minorHAnsi" w:hAnsiTheme="minorHAnsi" w:cs="Arial"/>
              </w:rPr>
            </w:pPr>
            <w:r>
              <w:rPr>
                <w:rFonts w:asciiTheme="minorHAnsi" w:hAnsiTheme="minorHAnsi" w:cs="Arial"/>
              </w:rPr>
              <w:t>236 083</w:t>
            </w:r>
          </w:p>
        </w:tc>
      </w:tr>
      <w:tr w:rsidR="00072163" w14:paraId="3D393AEC" w14:textId="77777777" w:rsidTr="00072163">
        <w:tc>
          <w:tcPr>
            <w:tcW w:w="2667" w:type="pct"/>
            <w:hideMark/>
          </w:tcPr>
          <w:p w14:paraId="778573C8" w14:textId="77777777" w:rsidR="00072163" w:rsidRPr="003277AF" w:rsidRDefault="00072163" w:rsidP="00092793">
            <w:pPr>
              <w:jc w:val="left"/>
              <w:rPr>
                <w:rFonts w:asciiTheme="minorHAnsi" w:hAnsiTheme="minorHAnsi" w:cs="Arial"/>
                <w:b/>
              </w:rPr>
            </w:pPr>
            <w:r w:rsidRPr="003277AF">
              <w:rPr>
                <w:rFonts w:asciiTheme="minorHAnsi" w:hAnsiTheme="minorHAnsi" w:cs="Arial"/>
                <w:b/>
              </w:rPr>
              <w:t>Total finansiering Sverige</w:t>
            </w:r>
          </w:p>
        </w:tc>
        <w:tc>
          <w:tcPr>
            <w:tcW w:w="1085" w:type="pct"/>
          </w:tcPr>
          <w:p w14:paraId="55B7B79E" w14:textId="77777777" w:rsidR="00072163" w:rsidRPr="003277AF" w:rsidRDefault="00072163" w:rsidP="0095753C">
            <w:pPr>
              <w:jc w:val="right"/>
              <w:rPr>
                <w:rFonts w:asciiTheme="minorHAnsi" w:hAnsiTheme="minorHAnsi" w:cs="Arial"/>
                <w:b/>
              </w:rPr>
            </w:pPr>
          </w:p>
        </w:tc>
        <w:tc>
          <w:tcPr>
            <w:tcW w:w="1248" w:type="pct"/>
            <w:vAlign w:val="bottom"/>
            <w:hideMark/>
          </w:tcPr>
          <w:p w14:paraId="0677CE7D" w14:textId="77777777" w:rsidR="00072163" w:rsidRPr="003277AF" w:rsidRDefault="00072163" w:rsidP="0095753C">
            <w:pPr>
              <w:jc w:val="right"/>
              <w:rPr>
                <w:rFonts w:asciiTheme="minorHAnsi" w:hAnsiTheme="minorHAnsi" w:cs="Arial"/>
                <w:b/>
              </w:rPr>
            </w:pPr>
            <w:r>
              <w:rPr>
                <w:rFonts w:asciiTheme="minorHAnsi" w:hAnsiTheme="minorHAnsi" w:cs="Arial"/>
                <w:b/>
              </w:rPr>
              <w:t>674 523</w:t>
            </w:r>
          </w:p>
        </w:tc>
      </w:tr>
    </w:tbl>
    <w:p w14:paraId="57963B56" w14:textId="77777777" w:rsidR="007F44A3" w:rsidRPr="004E2584" w:rsidRDefault="007F44A3" w:rsidP="00F17877">
      <w:pPr>
        <w:rPr>
          <w:rFonts w:ascii="Calibri" w:hAnsi="Calibri"/>
          <w:sz w:val="22"/>
          <w:szCs w:val="22"/>
        </w:rPr>
      </w:pPr>
    </w:p>
    <w:p w14:paraId="396F36A6" w14:textId="77777777" w:rsidR="007F44A3" w:rsidRPr="001A031A" w:rsidRDefault="001D7A2B" w:rsidP="00F17877">
      <w:pPr>
        <w:rPr>
          <w:rFonts w:ascii="Calibri" w:hAnsi="Calibri"/>
          <w:bCs/>
          <w:sz w:val="22"/>
          <w:szCs w:val="22"/>
        </w:rPr>
      </w:pPr>
      <w:r w:rsidRPr="001A031A">
        <w:rPr>
          <w:rFonts w:ascii="Calibri" w:hAnsi="Calibri"/>
          <w:bCs/>
          <w:sz w:val="22"/>
          <w:szCs w:val="22"/>
        </w:rPr>
        <w:t>EU-stödets andel av den totala medfinansieringen i procent</w:t>
      </w:r>
      <w:r w:rsidR="00AD336A" w:rsidRPr="001A031A">
        <w:rPr>
          <w:rFonts w:ascii="Calibri" w:hAnsi="Calibri"/>
          <w:bCs/>
          <w:sz w:val="22"/>
          <w:szCs w:val="22"/>
        </w:rPr>
        <w:t xml:space="preserve">: </w:t>
      </w:r>
      <w:r>
        <w:rPr>
          <w:rFonts w:ascii="Calibri" w:hAnsi="Calibri"/>
          <w:bCs/>
          <w:sz w:val="22"/>
          <w:szCs w:val="22"/>
        </w:rPr>
        <w:t>65,00</w:t>
      </w:r>
      <w:r w:rsidRPr="001A031A">
        <w:rPr>
          <w:rFonts w:ascii="Calibri" w:hAnsi="Calibri"/>
          <w:bCs/>
          <w:sz w:val="22"/>
          <w:szCs w:val="22"/>
        </w:rPr>
        <w:t>%</w:t>
      </w:r>
    </w:p>
    <w:p w14:paraId="0B1CFCF3" w14:textId="77777777" w:rsidR="004949A3" w:rsidRPr="004E2584" w:rsidRDefault="004949A3" w:rsidP="00EE4D0F">
      <w:pPr>
        <w:rPr>
          <w:rFonts w:ascii="Calibri" w:hAnsi="Calibri"/>
          <w:sz w:val="22"/>
          <w:szCs w:val="22"/>
        </w:rPr>
      </w:pPr>
    </w:p>
    <w:p w14:paraId="7220ACBF" w14:textId="77777777" w:rsidR="00F17877" w:rsidRPr="004E2584" w:rsidRDefault="001D7A2B" w:rsidP="00EE4D0F">
      <w:pPr>
        <w:rPr>
          <w:rFonts w:ascii="Calibri" w:hAnsi="Calibri"/>
          <w:b/>
          <w:sz w:val="22"/>
          <w:szCs w:val="22"/>
        </w:rPr>
      </w:pPr>
      <w:r w:rsidRPr="004E2584">
        <w:rPr>
          <w:rFonts w:ascii="Calibri" w:hAnsi="Calibri"/>
          <w:b/>
          <w:sz w:val="22"/>
          <w:szCs w:val="22"/>
        </w:rPr>
        <w:t>Kostnadsbudsjett Norge (totalt för prosjektperioden)</w:t>
      </w:r>
    </w:p>
    <w:tbl>
      <w:tblPr>
        <w:tblStyle w:val="Tabellrutenett"/>
        <w:tblW w:w="5000" w:type="pct"/>
        <w:tblLook w:val="04A0" w:firstRow="1" w:lastRow="0" w:firstColumn="1" w:lastColumn="0" w:noHBand="0" w:noVBand="1"/>
      </w:tblPr>
      <w:tblGrid>
        <w:gridCol w:w="4481"/>
        <w:gridCol w:w="1894"/>
        <w:gridCol w:w="2120"/>
      </w:tblGrid>
      <w:tr w:rsidR="006D6F53" w14:paraId="079A06CF" w14:textId="77777777" w:rsidTr="00072163">
        <w:trPr>
          <w:tblHeader/>
        </w:trPr>
        <w:tc>
          <w:tcPr>
            <w:tcW w:w="2636" w:type="pct"/>
            <w:shd w:val="clear" w:color="auto" w:fill="DBE5F1" w:themeFill="accent1" w:themeFillTint="33"/>
          </w:tcPr>
          <w:p w14:paraId="6A901D9C" w14:textId="77777777" w:rsidR="00D500C4" w:rsidRPr="0028396F" w:rsidRDefault="001D7A2B" w:rsidP="00E62779">
            <w:pPr>
              <w:jc w:val="left"/>
              <w:rPr>
                <w:rFonts w:asciiTheme="minorHAnsi" w:hAnsiTheme="minorHAnsi"/>
                <w:b/>
              </w:rPr>
            </w:pPr>
            <w:r>
              <w:rPr>
                <w:rFonts w:asciiTheme="minorHAnsi" w:hAnsiTheme="minorHAnsi"/>
                <w:b/>
              </w:rPr>
              <w:t>Kostnadsslag</w:t>
            </w:r>
          </w:p>
        </w:tc>
        <w:tc>
          <w:tcPr>
            <w:tcW w:w="1115" w:type="pct"/>
            <w:shd w:val="clear" w:color="auto" w:fill="DBE5F1" w:themeFill="accent1" w:themeFillTint="33"/>
          </w:tcPr>
          <w:p w14:paraId="35CCDE30" w14:textId="77777777" w:rsidR="00D500C4" w:rsidRPr="0028396F" w:rsidRDefault="001D7A2B" w:rsidP="00E62779">
            <w:pPr>
              <w:jc w:val="right"/>
              <w:rPr>
                <w:rFonts w:asciiTheme="minorHAnsi" w:hAnsiTheme="minorHAnsi"/>
                <w:b/>
              </w:rPr>
            </w:pPr>
            <w:r w:rsidRPr="0028396F">
              <w:rPr>
                <w:rFonts w:asciiTheme="minorHAnsi" w:hAnsiTheme="minorHAnsi"/>
                <w:b/>
              </w:rPr>
              <w:t>NOK</w:t>
            </w:r>
          </w:p>
        </w:tc>
        <w:tc>
          <w:tcPr>
            <w:tcW w:w="1248" w:type="pct"/>
            <w:shd w:val="clear" w:color="auto" w:fill="DBE5F1" w:themeFill="accent1" w:themeFillTint="33"/>
          </w:tcPr>
          <w:p w14:paraId="0F749C3A" w14:textId="77777777" w:rsidR="00D500C4" w:rsidRPr="0028396F" w:rsidRDefault="001D7A2B" w:rsidP="00E62779">
            <w:pPr>
              <w:jc w:val="right"/>
              <w:rPr>
                <w:rFonts w:asciiTheme="minorHAnsi" w:hAnsiTheme="minorHAnsi"/>
                <w:b/>
              </w:rPr>
            </w:pPr>
            <w:r w:rsidRPr="0028396F">
              <w:rPr>
                <w:rFonts w:asciiTheme="minorHAnsi" w:hAnsiTheme="minorHAnsi"/>
                <w:b/>
              </w:rPr>
              <w:t>EUR</w:t>
            </w:r>
          </w:p>
        </w:tc>
      </w:tr>
      <w:tr w:rsidR="006D6F53" w14:paraId="6B96C706" w14:textId="77777777" w:rsidTr="00072163">
        <w:tc>
          <w:tcPr>
            <w:tcW w:w="2636" w:type="pct"/>
          </w:tcPr>
          <w:p w14:paraId="3B03ED58" w14:textId="689A29DA" w:rsidR="00D500C4" w:rsidRPr="0028396F" w:rsidRDefault="00BA1467" w:rsidP="00E62779">
            <w:pPr>
              <w:jc w:val="left"/>
              <w:rPr>
                <w:rFonts w:asciiTheme="minorHAnsi" w:hAnsiTheme="minorHAnsi"/>
              </w:rPr>
            </w:pPr>
            <w:r>
              <w:rPr>
                <w:rFonts w:asciiTheme="minorHAnsi" w:hAnsiTheme="minorHAnsi"/>
              </w:rPr>
              <w:t>Eget personale</w:t>
            </w:r>
          </w:p>
        </w:tc>
        <w:tc>
          <w:tcPr>
            <w:tcW w:w="1115" w:type="pct"/>
          </w:tcPr>
          <w:p w14:paraId="20B52103" w14:textId="1353BDF3" w:rsidR="00D500C4" w:rsidRPr="0028396F" w:rsidRDefault="00BA1467" w:rsidP="00E62779">
            <w:pPr>
              <w:jc w:val="right"/>
              <w:rPr>
                <w:rFonts w:asciiTheme="minorHAnsi" w:hAnsiTheme="minorHAnsi"/>
              </w:rPr>
            </w:pPr>
            <w:r>
              <w:rPr>
                <w:rFonts w:asciiTheme="minorHAnsi" w:hAnsiTheme="minorHAnsi"/>
              </w:rPr>
              <w:t>1 217 391</w:t>
            </w:r>
          </w:p>
        </w:tc>
        <w:tc>
          <w:tcPr>
            <w:tcW w:w="1248" w:type="pct"/>
          </w:tcPr>
          <w:p w14:paraId="5FC033F9" w14:textId="6D843E8B" w:rsidR="00D500C4" w:rsidRPr="002E1F4B" w:rsidRDefault="00BA1467" w:rsidP="00E62779">
            <w:pPr>
              <w:jc w:val="right"/>
              <w:rPr>
                <w:rFonts w:asciiTheme="minorHAnsi" w:hAnsiTheme="minorHAnsi"/>
                <w:bCs/>
              </w:rPr>
            </w:pPr>
            <w:r w:rsidRPr="002E1F4B">
              <w:rPr>
                <w:rFonts w:asciiTheme="minorHAnsi" w:hAnsiTheme="minorHAnsi"/>
                <w:bCs/>
              </w:rPr>
              <w:t>121 739</w:t>
            </w:r>
          </w:p>
        </w:tc>
      </w:tr>
      <w:tr w:rsidR="00BA1467" w14:paraId="556866B6" w14:textId="77777777" w:rsidTr="00072163">
        <w:tc>
          <w:tcPr>
            <w:tcW w:w="2636" w:type="pct"/>
          </w:tcPr>
          <w:p w14:paraId="5A55F980" w14:textId="5663C53D" w:rsidR="00BA1467" w:rsidRDefault="00BA1467" w:rsidP="00E62779">
            <w:pPr>
              <w:rPr>
                <w:rFonts w:asciiTheme="minorHAnsi" w:hAnsiTheme="minorHAnsi"/>
              </w:rPr>
            </w:pPr>
            <w:r>
              <w:rPr>
                <w:rFonts w:asciiTheme="minorHAnsi" w:hAnsiTheme="minorHAnsi"/>
              </w:rPr>
              <w:t>Administrasjonskostnader</w:t>
            </w:r>
          </w:p>
        </w:tc>
        <w:tc>
          <w:tcPr>
            <w:tcW w:w="1115" w:type="pct"/>
          </w:tcPr>
          <w:p w14:paraId="2F517C4B" w14:textId="08EC1972" w:rsidR="00BA1467" w:rsidRPr="0028396F" w:rsidRDefault="00BA1467" w:rsidP="00E62779">
            <w:pPr>
              <w:jc w:val="right"/>
              <w:rPr>
                <w:rFonts w:asciiTheme="minorHAnsi" w:hAnsiTheme="minorHAnsi"/>
              </w:rPr>
            </w:pPr>
            <w:r>
              <w:rPr>
                <w:rFonts w:asciiTheme="minorHAnsi" w:hAnsiTheme="minorHAnsi"/>
              </w:rPr>
              <w:t>182 609</w:t>
            </w:r>
          </w:p>
        </w:tc>
        <w:tc>
          <w:tcPr>
            <w:tcW w:w="1248" w:type="pct"/>
          </w:tcPr>
          <w:p w14:paraId="641A0616" w14:textId="6E0E5CA0" w:rsidR="00BA1467" w:rsidRPr="002E1F4B" w:rsidRDefault="00BA1467" w:rsidP="00E62779">
            <w:pPr>
              <w:jc w:val="right"/>
              <w:rPr>
                <w:rFonts w:asciiTheme="minorHAnsi" w:hAnsiTheme="minorHAnsi"/>
                <w:bCs/>
              </w:rPr>
            </w:pPr>
            <w:r w:rsidRPr="002E1F4B">
              <w:rPr>
                <w:rFonts w:asciiTheme="minorHAnsi" w:hAnsiTheme="minorHAnsi"/>
                <w:bCs/>
              </w:rPr>
              <w:t>18 261</w:t>
            </w:r>
          </w:p>
        </w:tc>
      </w:tr>
      <w:tr w:rsidR="00BA1467" w14:paraId="784C017F" w14:textId="77777777" w:rsidTr="00072163">
        <w:tc>
          <w:tcPr>
            <w:tcW w:w="2636" w:type="pct"/>
          </w:tcPr>
          <w:p w14:paraId="37AF7395" w14:textId="22967595" w:rsidR="00BA1467" w:rsidRDefault="00BA1467" w:rsidP="00E62779">
            <w:pPr>
              <w:rPr>
                <w:rFonts w:asciiTheme="minorHAnsi" w:hAnsiTheme="minorHAnsi"/>
              </w:rPr>
            </w:pPr>
            <w:r>
              <w:rPr>
                <w:rFonts w:asciiTheme="minorHAnsi" w:hAnsiTheme="minorHAnsi"/>
              </w:rPr>
              <w:t>Eksterne tjenester</w:t>
            </w:r>
          </w:p>
        </w:tc>
        <w:tc>
          <w:tcPr>
            <w:tcW w:w="1115" w:type="pct"/>
          </w:tcPr>
          <w:p w14:paraId="60F1D99E" w14:textId="4B9F5BE9" w:rsidR="00BA1467" w:rsidRPr="0028396F" w:rsidRDefault="00BA1467" w:rsidP="00E62779">
            <w:pPr>
              <w:jc w:val="right"/>
              <w:rPr>
                <w:rFonts w:asciiTheme="minorHAnsi" w:hAnsiTheme="minorHAnsi"/>
              </w:rPr>
            </w:pPr>
            <w:r>
              <w:rPr>
                <w:rFonts w:asciiTheme="minorHAnsi" w:hAnsiTheme="minorHAnsi"/>
              </w:rPr>
              <w:t>1 000 000</w:t>
            </w:r>
          </w:p>
        </w:tc>
        <w:tc>
          <w:tcPr>
            <w:tcW w:w="1248" w:type="pct"/>
          </w:tcPr>
          <w:p w14:paraId="39366EF8" w14:textId="4FDC115E" w:rsidR="00BA1467" w:rsidRPr="002E1F4B" w:rsidRDefault="00BA1467" w:rsidP="00E62779">
            <w:pPr>
              <w:jc w:val="right"/>
              <w:rPr>
                <w:rFonts w:asciiTheme="minorHAnsi" w:hAnsiTheme="minorHAnsi"/>
                <w:bCs/>
              </w:rPr>
            </w:pPr>
            <w:r w:rsidRPr="002E1F4B">
              <w:rPr>
                <w:rFonts w:asciiTheme="minorHAnsi" w:hAnsiTheme="minorHAnsi"/>
                <w:bCs/>
              </w:rPr>
              <w:t>100 000</w:t>
            </w:r>
          </w:p>
        </w:tc>
      </w:tr>
      <w:tr w:rsidR="00BA1467" w14:paraId="4E61EB27" w14:textId="77777777" w:rsidTr="00072163">
        <w:tc>
          <w:tcPr>
            <w:tcW w:w="2636" w:type="pct"/>
          </w:tcPr>
          <w:p w14:paraId="1105E5FB" w14:textId="21FB08D1" w:rsidR="00BA1467" w:rsidRDefault="00BA1467" w:rsidP="00E62779">
            <w:pPr>
              <w:rPr>
                <w:rFonts w:asciiTheme="minorHAnsi" w:hAnsiTheme="minorHAnsi"/>
              </w:rPr>
            </w:pPr>
            <w:r>
              <w:rPr>
                <w:rFonts w:asciiTheme="minorHAnsi" w:hAnsiTheme="minorHAnsi"/>
              </w:rPr>
              <w:t>Utstyr/investeringer</w:t>
            </w:r>
          </w:p>
        </w:tc>
        <w:tc>
          <w:tcPr>
            <w:tcW w:w="1115" w:type="pct"/>
          </w:tcPr>
          <w:p w14:paraId="2A549105" w14:textId="2BDA7F27" w:rsidR="00BA1467" w:rsidRPr="0028396F" w:rsidRDefault="00BA1467" w:rsidP="00E62779">
            <w:pPr>
              <w:jc w:val="right"/>
              <w:rPr>
                <w:rFonts w:asciiTheme="minorHAnsi" w:hAnsiTheme="minorHAnsi"/>
              </w:rPr>
            </w:pPr>
            <w:r>
              <w:rPr>
                <w:rFonts w:asciiTheme="minorHAnsi" w:hAnsiTheme="minorHAnsi"/>
              </w:rPr>
              <w:t>700 000</w:t>
            </w:r>
          </w:p>
        </w:tc>
        <w:tc>
          <w:tcPr>
            <w:tcW w:w="1248" w:type="pct"/>
          </w:tcPr>
          <w:p w14:paraId="094C478F" w14:textId="6BCB16F3" w:rsidR="00BA1467" w:rsidRPr="002E1F4B" w:rsidRDefault="00BA1467" w:rsidP="00E62779">
            <w:pPr>
              <w:jc w:val="right"/>
              <w:rPr>
                <w:rFonts w:asciiTheme="minorHAnsi" w:hAnsiTheme="minorHAnsi"/>
                <w:bCs/>
              </w:rPr>
            </w:pPr>
            <w:r w:rsidRPr="002E1F4B">
              <w:rPr>
                <w:rFonts w:asciiTheme="minorHAnsi" w:hAnsiTheme="minorHAnsi"/>
                <w:bCs/>
              </w:rPr>
              <w:t>70 000</w:t>
            </w:r>
          </w:p>
        </w:tc>
      </w:tr>
      <w:tr w:rsidR="00BA1467" w14:paraId="2F63B9A8" w14:textId="77777777" w:rsidTr="00072163">
        <w:tc>
          <w:tcPr>
            <w:tcW w:w="2636" w:type="pct"/>
          </w:tcPr>
          <w:p w14:paraId="0FD7E16B" w14:textId="0C559C33" w:rsidR="00BA1467" w:rsidRDefault="00BA1467" w:rsidP="00E62779">
            <w:pPr>
              <w:rPr>
                <w:rFonts w:asciiTheme="minorHAnsi" w:hAnsiTheme="minorHAnsi"/>
              </w:rPr>
            </w:pPr>
            <w:r>
              <w:rPr>
                <w:rFonts w:asciiTheme="minorHAnsi" w:hAnsiTheme="minorHAnsi"/>
              </w:rPr>
              <w:t>Reisekostnader</w:t>
            </w:r>
          </w:p>
        </w:tc>
        <w:tc>
          <w:tcPr>
            <w:tcW w:w="1115" w:type="pct"/>
          </w:tcPr>
          <w:p w14:paraId="67EF7081" w14:textId="558BB91A" w:rsidR="00BA1467" w:rsidRPr="0028396F" w:rsidRDefault="00BA1467" w:rsidP="00E62779">
            <w:pPr>
              <w:jc w:val="right"/>
              <w:rPr>
                <w:rFonts w:asciiTheme="minorHAnsi" w:hAnsiTheme="minorHAnsi"/>
              </w:rPr>
            </w:pPr>
            <w:r>
              <w:rPr>
                <w:rFonts w:asciiTheme="minorHAnsi" w:hAnsiTheme="minorHAnsi"/>
              </w:rPr>
              <w:t>100 000</w:t>
            </w:r>
          </w:p>
        </w:tc>
        <w:tc>
          <w:tcPr>
            <w:tcW w:w="1248" w:type="pct"/>
          </w:tcPr>
          <w:p w14:paraId="67BBEC43" w14:textId="1AF4926D" w:rsidR="00BA1467" w:rsidRPr="002E1F4B" w:rsidRDefault="00BA1467" w:rsidP="00E62779">
            <w:pPr>
              <w:jc w:val="right"/>
              <w:rPr>
                <w:rFonts w:asciiTheme="minorHAnsi" w:hAnsiTheme="minorHAnsi"/>
                <w:bCs/>
              </w:rPr>
            </w:pPr>
            <w:r w:rsidRPr="002E1F4B">
              <w:rPr>
                <w:rFonts w:asciiTheme="minorHAnsi" w:hAnsiTheme="minorHAnsi"/>
                <w:bCs/>
              </w:rPr>
              <w:t>10 000</w:t>
            </w:r>
          </w:p>
        </w:tc>
      </w:tr>
      <w:tr w:rsidR="006D6F53" w14:paraId="09649AC2" w14:textId="77777777" w:rsidTr="00072163">
        <w:tc>
          <w:tcPr>
            <w:tcW w:w="2636" w:type="pct"/>
          </w:tcPr>
          <w:p w14:paraId="125E1CC8" w14:textId="67E53F48" w:rsidR="00D500C4" w:rsidRPr="0028396F" w:rsidRDefault="00BA1467" w:rsidP="00E62779">
            <w:pPr>
              <w:jc w:val="left"/>
              <w:rPr>
                <w:rFonts w:asciiTheme="minorHAnsi" w:hAnsiTheme="minorHAnsi"/>
              </w:rPr>
            </w:pPr>
            <w:r>
              <w:rPr>
                <w:rFonts w:asciiTheme="minorHAnsi" w:hAnsiTheme="minorHAnsi"/>
              </w:rPr>
              <w:t>Offentlig finansierte kostnader</w:t>
            </w:r>
          </w:p>
        </w:tc>
        <w:tc>
          <w:tcPr>
            <w:tcW w:w="1115" w:type="pct"/>
          </w:tcPr>
          <w:p w14:paraId="3F82D1D7" w14:textId="44CE9AE0" w:rsidR="00D500C4" w:rsidRPr="0028396F" w:rsidRDefault="00BA1467" w:rsidP="00E62779">
            <w:pPr>
              <w:jc w:val="right"/>
              <w:rPr>
                <w:rFonts w:asciiTheme="minorHAnsi" w:hAnsiTheme="minorHAnsi"/>
              </w:rPr>
            </w:pPr>
            <w:r>
              <w:rPr>
                <w:rFonts w:asciiTheme="minorHAnsi" w:hAnsiTheme="minorHAnsi"/>
              </w:rPr>
              <w:t>400 000</w:t>
            </w:r>
          </w:p>
        </w:tc>
        <w:tc>
          <w:tcPr>
            <w:tcW w:w="1248" w:type="pct"/>
          </w:tcPr>
          <w:p w14:paraId="18B8ECE4" w14:textId="4E848954" w:rsidR="00D500C4" w:rsidRPr="002E1F4B" w:rsidRDefault="00BA1467" w:rsidP="00E62779">
            <w:pPr>
              <w:jc w:val="right"/>
              <w:rPr>
                <w:rFonts w:asciiTheme="minorHAnsi" w:hAnsiTheme="minorHAnsi"/>
                <w:bCs/>
              </w:rPr>
            </w:pPr>
            <w:r w:rsidRPr="002E1F4B">
              <w:rPr>
                <w:rFonts w:asciiTheme="minorHAnsi" w:hAnsiTheme="minorHAnsi"/>
                <w:bCs/>
              </w:rPr>
              <w:t>40 000</w:t>
            </w:r>
          </w:p>
        </w:tc>
      </w:tr>
      <w:tr w:rsidR="006D6F53" w14:paraId="2A33452D" w14:textId="77777777" w:rsidTr="00072163">
        <w:tc>
          <w:tcPr>
            <w:tcW w:w="2636" w:type="pct"/>
          </w:tcPr>
          <w:p w14:paraId="4080128C" w14:textId="77777777" w:rsidR="00D500C4" w:rsidRPr="0028396F" w:rsidRDefault="001D7A2B" w:rsidP="00E62779">
            <w:pPr>
              <w:jc w:val="left"/>
              <w:rPr>
                <w:rFonts w:asciiTheme="minorHAnsi" w:hAnsiTheme="minorHAnsi"/>
                <w:b/>
              </w:rPr>
            </w:pPr>
            <w:r w:rsidRPr="0028396F">
              <w:rPr>
                <w:rFonts w:asciiTheme="minorHAnsi" w:hAnsiTheme="minorHAnsi"/>
                <w:b/>
              </w:rPr>
              <w:t>Sum kostnader</w:t>
            </w:r>
          </w:p>
        </w:tc>
        <w:tc>
          <w:tcPr>
            <w:tcW w:w="1115" w:type="pct"/>
          </w:tcPr>
          <w:p w14:paraId="0C544AFF" w14:textId="16DAB573" w:rsidR="00D500C4" w:rsidRPr="0028396F" w:rsidRDefault="00BA1467" w:rsidP="00E62779">
            <w:pPr>
              <w:jc w:val="right"/>
              <w:rPr>
                <w:rFonts w:asciiTheme="minorHAnsi" w:hAnsiTheme="minorHAnsi"/>
                <w:b/>
              </w:rPr>
            </w:pPr>
            <w:r>
              <w:rPr>
                <w:rFonts w:asciiTheme="minorHAnsi" w:hAnsiTheme="minorHAnsi"/>
                <w:b/>
              </w:rPr>
              <w:t>3 600 000</w:t>
            </w:r>
          </w:p>
        </w:tc>
        <w:tc>
          <w:tcPr>
            <w:tcW w:w="1248" w:type="pct"/>
          </w:tcPr>
          <w:p w14:paraId="18CDCCB7" w14:textId="77777777" w:rsidR="00D500C4" w:rsidRPr="0028396F" w:rsidRDefault="001D7A2B" w:rsidP="00E62779">
            <w:pPr>
              <w:jc w:val="right"/>
              <w:rPr>
                <w:rFonts w:asciiTheme="minorHAnsi" w:hAnsiTheme="minorHAnsi"/>
                <w:b/>
              </w:rPr>
            </w:pPr>
            <w:r>
              <w:rPr>
                <w:rFonts w:asciiTheme="minorHAnsi" w:hAnsiTheme="minorHAnsi"/>
                <w:b/>
              </w:rPr>
              <w:t>360 000</w:t>
            </w:r>
          </w:p>
        </w:tc>
      </w:tr>
    </w:tbl>
    <w:p w14:paraId="4BD2EE12" w14:textId="77777777" w:rsidR="00F17877" w:rsidRPr="004E2584" w:rsidRDefault="00F17877" w:rsidP="00EE4D0F">
      <w:pPr>
        <w:rPr>
          <w:rFonts w:ascii="Calibri" w:hAnsi="Calibri"/>
          <w:sz w:val="22"/>
          <w:szCs w:val="22"/>
        </w:rPr>
      </w:pPr>
    </w:p>
    <w:p w14:paraId="760400A7" w14:textId="77777777" w:rsidR="00F17877" w:rsidRPr="004E2584" w:rsidRDefault="001D7A2B" w:rsidP="00EE4D0F">
      <w:pPr>
        <w:rPr>
          <w:rFonts w:ascii="Calibri" w:hAnsi="Calibri"/>
          <w:b/>
          <w:sz w:val="22"/>
          <w:szCs w:val="22"/>
        </w:rPr>
      </w:pPr>
      <w:r w:rsidRPr="004E2584">
        <w:rPr>
          <w:rFonts w:ascii="Calibri" w:hAnsi="Calibri"/>
          <w:b/>
          <w:sz w:val="22"/>
          <w:szCs w:val="22"/>
        </w:rPr>
        <w:t>Finansiering Norge (totalt för pro</w:t>
      </w:r>
      <w:r w:rsidR="00FB30F8" w:rsidRPr="004E2584">
        <w:rPr>
          <w:rFonts w:ascii="Calibri" w:hAnsi="Calibri"/>
          <w:b/>
          <w:sz w:val="22"/>
          <w:szCs w:val="22"/>
        </w:rPr>
        <w:t>s</w:t>
      </w:r>
      <w:r w:rsidRPr="004E2584">
        <w:rPr>
          <w:rFonts w:ascii="Calibri" w:hAnsi="Calibri"/>
          <w:b/>
          <w:sz w:val="22"/>
          <w:szCs w:val="22"/>
        </w:rPr>
        <w:t>jektperioden)</w:t>
      </w:r>
    </w:p>
    <w:tbl>
      <w:tblPr>
        <w:tblStyle w:val="Tabellrutenett"/>
        <w:tblW w:w="5000" w:type="pct"/>
        <w:tblLook w:val="04A0" w:firstRow="1" w:lastRow="0" w:firstColumn="1" w:lastColumn="0" w:noHBand="0" w:noVBand="1"/>
      </w:tblPr>
      <w:tblGrid>
        <w:gridCol w:w="4532"/>
        <w:gridCol w:w="1843"/>
        <w:gridCol w:w="2120"/>
      </w:tblGrid>
      <w:tr w:rsidR="006D6F53" w14:paraId="0102574C" w14:textId="77777777" w:rsidTr="00072163">
        <w:trPr>
          <w:tblHeader/>
        </w:trPr>
        <w:tc>
          <w:tcPr>
            <w:tcW w:w="266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99F7E3" w14:textId="77777777" w:rsidR="00187C2C" w:rsidRPr="00A23581" w:rsidRDefault="001D7A2B" w:rsidP="002B14B7">
            <w:pPr>
              <w:jc w:val="left"/>
              <w:rPr>
                <w:rFonts w:asciiTheme="minorHAnsi" w:hAnsiTheme="minorHAnsi"/>
                <w:b/>
              </w:rPr>
            </w:pPr>
            <w:r>
              <w:rPr>
                <w:rFonts w:asciiTheme="minorHAnsi" w:hAnsiTheme="minorHAnsi"/>
                <w:b/>
              </w:rPr>
              <w:t>Finansiär</w:t>
            </w:r>
          </w:p>
        </w:tc>
        <w:tc>
          <w:tcPr>
            <w:tcW w:w="108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C784A0" w14:textId="77777777" w:rsidR="00187C2C" w:rsidRPr="00A23581" w:rsidRDefault="001D7A2B" w:rsidP="00DB3818">
            <w:pPr>
              <w:jc w:val="right"/>
              <w:rPr>
                <w:rFonts w:asciiTheme="minorHAnsi" w:hAnsiTheme="minorHAnsi"/>
                <w:b/>
              </w:rPr>
            </w:pPr>
            <w:r w:rsidRPr="00A23581">
              <w:rPr>
                <w:rFonts w:asciiTheme="minorHAnsi" w:hAnsiTheme="minorHAnsi"/>
                <w:b/>
              </w:rPr>
              <w:t>NOK</w:t>
            </w:r>
          </w:p>
        </w:tc>
        <w:tc>
          <w:tcPr>
            <w:tcW w:w="124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37BAB3" w14:textId="77777777" w:rsidR="00187C2C" w:rsidRPr="00A23581" w:rsidRDefault="001D7A2B" w:rsidP="00DB3818">
            <w:pPr>
              <w:jc w:val="right"/>
              <w:rPr>
                <w:rFonts w:asciiTheme="minorHAnsi" w:hAnsiTheme="minorHAnsi"/>
                <w:b/>
              </w:rPr>
            </w:pPr>
            <w:r w:rsidRPr="00A23581">
              <w:rPr>
                <w:rFonts w:asciiTheme="minorHAnsi" w:hAnsiTheme="minorHAnsi"/>
                <w:b/>
              </w:rPr>
              <w:t>EUR</w:t>
            </w:r>
          </w:p>
        </w:tc>
      </w:tr>
      <w:tr w:rsidR="006D6F53" w14:paraId="6B0B52A5" w14:textId="77777777" w:rsidTr="00072163">
        <w:tc>
          <w:tcPr>
            <w:tcW w:w="2667" w:type="pct"/>
            <w:tcBorders>
              <w:top w:val="single" w:sz="4" w:space="0" w:color="auto"/>
              <w:left w:val="single" w:sz="4" w:space="0" w:color="auto"/>
              <w:bottom w:val="single" w:sz="4" w:space="0" w:color="auto"/>
              <w:right w:val="single" w:sz="4" w:space="0" w:color="auto"/>
            </w:tcBorders>
          </w:tcPr>
          <w:p w14:paraId="51DBB23C" w14:textId="77777777" w:rsidR="00F96617" w:rsidRPr="00A23581" w:rsidRDefault="001D7A2B" w:rsidP="002B14B7">
            <w:pPr>
              <w:jc w:val="left"/>
              <w:rPr>
                <w:rFonts w:asciiTheme="minorHAnsi" w:hAnsiTheme="minorHAnsi"/>
                <w:b/>
              </w:rPr>
            </w:pPr>
            <w:r w:rsidRPr="00A23581">
              <w:rPr>
                <w:rFonts w:asciiTheme="minorHAnsi" w:hAnsiTheme="minorHAnsi"/>
                <w:b/>
              </w:rPr>
              <w:t>IR-midler</w:t>
            </w:r>
          </w:p>
        </w:tc>
        <w:tc>
          <w:tcPr>
            <w:tcW w:w="1085" w:type="pct"/>
            <w:tcBorders>
              <w:top w:val="single" w:sz="4" w:space="0" w:color="auto"/>
              <w:left w:val="single" w:sz="4" w:space="0" w:color="auto"/>
              <w:bottom w:val="single" w:sz="4" w:space="0" w:color="auto"/>
              <w:right w:val="single" w:sz="4" w:space="0" w:color="auto"/>
            </w:tcBorders>
          </w:tcPr>
          <w:p w14:paraId="74518767" w14:textId="2DF25575" w:rsidR="00F96617" w:rsidRPr="00A23581" w:rsidRDefault="00BA1467" w:rsidP="00DB3818">
            <w:pPr>
              <w:jc w:val="right"/>
              <w:rPr>
                <w:rFonts w:asciiTheme="minorHAnsi" w:hAnsiTheme="minorHAnsi"/>
                <w:b/>
              </w:rPr>
            </w:pPr>
            <w:r>
              <w:rPr>
                <w:rFonts w:asciiTheme="minorHAnsi" w:hAnsiTheme="minorHAnsi"/>
                <w:b/>
              </w:rPr>
              <w:t>1 800 000</w:t>
            </w:r>
          </w:p>
        </w:tc>
        <w:tc>
          <w:tcPr>
            <w:tcW w:w="1248" w:type="pct"/>
            <w:tcBorders>
              <w:top w:val="single" w:sz="4" w:space="0" w:color="auto"/>
              <w:left w:val="single" w:sz="4" w:space="0" w:color="auto"/>
              <w:bottom w:val="single" w:sz="4" w:space="0" w:color="auto"/>
              <w:right w:val="single" w:sz="4" w:space="0" w:color="auto"/>
            </w:tcBorders>
          </w:tcPr>
          <w:p w14:paraId="76C47D64" w14:textId="77777777" w:rsidR="00F96617" w:rsidRPr="00A23581" w:rsidRDefault="001D7A2B" w:rsidP="00DB3818">
            <w:pPr>
              <w:jc w:val="right"/>
              <w:rPr>
                <w:rFonts w:asciiTheme="minorHAnsi" w:hAnsiTheme="minorHAnsi"/>
                <w:b/>
              </w:rPr>
            </w:pPr>
            <w:r>
              <w:rPr>
                <w:rFonts w:asciiTheme="minorHAnsi" w:hAnsiTheme="minorHAnsi"/>
                <w:b/>
              </w:rPr>
              <w:t>180 000</w:t>
            </w:r>
          </w:p>
        </w:tc>
      </w:tr>
      <w:tr w:rsidR="006D6F53" w14:paraId="3ABAA3D6" w14:textId="77777777" w:rsidTr="00072163">
        <w:tc>
          <w:tcPr>
            <w:tcW w:w="2667" w:type="pct"/>
            <w:tcBorders>
              <w:top w:val="single" w:sz="4" w:space="0" w:color="auto"/>
              <w:left w:val="single" w:sz="4" w:space="0" w:color="auto"/>
              <w:bottom w:val="single" w:sz="4" w:space="0" w:color="auto"/>
              <w:right w:val="single" w:sz="4" w:space="0" w:color="auto"/>
            </w:tcBorders>
          </w:tcPr>
          <w:p w14:paraId="2C6E84BF" w14:textId="77777777" w:rsidR="00DB3818" w:rsidRPr="00A23581" w:rsidRDefault="001D7A2B" w:rsidP="002B14B7">
            <w:pPr>
              <w:jc w:val="left"/>
              <w:rPr>
                <w:rFonts w:asciiTheme="minorHAnsi" w:hAnsiTheme="minorHAnsi"/>
                <w:b/>
              </w:rPr>
            </w:pPr>
            <w:r w:rsidRPr="00A23581">
              <w:rPr>
                <w:rFonts w:asciiTheme="minorHAnsi" w:hAnsiTheme="minorHAnsi"/>
                <w:b/>
              </w:rPr>
              <w:t>Offentlig kontantfinansiering:</w:t>
            </w:r>
          </w:p>
        </w:tc>
        <w:tc>
          <w:tcPr>
            <w:tcW w:w="1085" w:type="pct"/>
            <w:tcBorders>
              <w:top w:val="single" w:sz="4" w:space="0" w:color="auto"/>
              <w:left w:val="single" w:sz="4" w:space="0" w:color="auto"/>
              <w:bottom w:val="single" w:sz="4" w:space="0" w:color="auto"/>
              <w:right w:val="single" w:sz="4" w:space="0" w:color="auto"/>
            </w:tcBorders>
          </w:tcPr>
          <w:p w14:paraId="26E75028" w14:textId="7175EDC4" w:rsidR="00DB3818" w:rsidRPr="00A23581" w:rsidRDefault="00BA1467" w:rsidP="00DB3818">
            <w:pPr>
              <w:jc w:val="right"/>
              <w:rPr>
                <w:rFonts w:asciiTheme="minorHAnsi" w:hAnsiTheme="minorHAnsi"/>
                <w:b/>
              </w:rPr>
            </w:pPr>
            <w:r>
              <w:rPr>
                <w:rFonts w:asciiTheme="minorHAnsi" w:hAnsiTheme="minorHAnsi"/>
                <w:b/>
              </w:rPr>
              <w:t>1 400 000</w:t>
            </w:r>
          </w:p>
        </w:tc>
        <w:tc>
          <w:tcPr>
            <w:tcW w:w="1248" w:type="pct"/>
            <w:tcBorders>
              <w:top w:val="single" w:sz="4" w:space="0" w:color="auto"/>
              <w:left w:val="single" w:sz="4" w:space="0" w:color="auto"/>
              <w:bottom w:val="single" w:sz="4" w:space="0" w:color="auto"/>
              <w:right w:val="single" w:sz="4" w:space="0" w:color="auto"/>
            </w:tcBorders>
          </w:tcPr>
          <w:p w14:paraId="12FACDEC" w14:textId="5C6B59BA" w:rsidR="00DB3818" w:rsidRPr="00A23581" w:rsidRDefault="001D7A2B" w:rsidP="00DB3818">
            <w:pPr>
              <w:jc w:val="right"/>
              <w:rPr>
                <w:rFonts w:asciiTheme="minorHAnsi" w:hAnsiTheme="minorHAnsi"/>
                <w:b/>
              </w:rPr>
            </w:pPr>
            <w:r>
              <w:rPr>
                <w:rFonts w:asciiTheme="minorHAnsi" w:hAnsiTheme="minorHAnsi"/>
                <w:b/>
              </w:rPr>
              <w:t>1</w:t>
            </w:r>
            <w:r w:rsidR="00BA1467">
              <w:rPr>
                <w:rFonts w:asciiTheme="minorHAnsi" w:hAnsiTheme="minorHAnsi"/>
                <w:b/>
              </w:rPr>
              <w:t>4</w:t>
            </w:r>
            <w:r>
              <w:rPr>
                <w:rFonts w:asciiTheme="minorHAnsi" w:hAnsiTheme="minorHAnsi"/>
                <w:b/>
              </w:rPr>
              <w:t>0 000</w:t>
            </w:r>
          </w:p>
        </w:tc>
      </w:tr>
      <w:tr w:rsidR="006D6F53" w14:paraId="6CDA96FA" w14:textId="77777777" w:rsidTr="00072163">
        <w:tc>
          <w:tcPr>
            <w:tcW w:w="2667" w:type="pct"/>
            <w:tcBorders>
              <w:top w:val="single" w:sz="4" w:space="0" w:color="auto"/>
              <w:left w:val="single" w:sz="4" w:space="0" w:color="auto"/>
              <w:bottom w:val="single" w:sz="4" w:space="0" w:color="auto"/>
              <w:right w:val="single" w:sz="4" w:space="0" w:color="auto"/>
            </w:tcBorders>
          </w:tcPr>
          <w:p w14:paraId="252C1F10" w14:textId="77777777" w:rsidR="00187C2C" w:rsidRPr="00A23581" w:rsidRDefault="001D7A2B" w:rsidP="002B14B7">
            <w:pPr>
              <w:jc w:val="left"/>
              <w:rPr>
                <w:rFonts w:asciiTheme="minorHAnsi" w:hAnsiTheme="minorHAnsi"/>
              </w:rPr>
            </w:pPr>
            <w:r>
              <w:rPr>
                <w:rFonts w:asciiTheme="minorHAnsi" w:hAnsiTheme="minorHAnsi"/>
              </w:rPr>
              <w:t>NORGES TEKNISK-NATURVITENSKAPELIGE UNIVERSITET NTNU</w:t>
            </w:r>
          </w:p>
        </w:tc>
        <w:tc>
          <w:tcPr>
            <w:tcW w:w="1085" w:type="pct"/>
            <w:tcBorders>
              <w:top w:val="single" w:sz="4" w:space="0" w:color="auto"/>
              <w:left w:val="single" w:sz="4" w:space="0" w:color="auto"/>
              <w:bottom w:val="single" w:sz="4" w:space="0" w:color="auto"/>
              <w:right w:val="single" w:sz="4" w:space="0" w:color="auto"/>
            </w:tcBorders>
          </w:tcPr>
          <w:p w14:paraId="28B065E1" w14:textId="2034EF33" w:rsidR="00187C2C" w:rsidRPr="00A23581" w:rsidRDefault="00BA1467">
            <w:pPr>
              <w:jc w:val="right"/>
              <w:rPr>
                <w:rFonts w:asciiTheme="minorHAnsi" w:hAnsiTheme="minorHAnsi"/>
              </w:rPr>
            </w:pPr>
            <w:r>
              <w:rPr>
                <w:rFonts w:asciiTheme="minorHAnsi" w:hAnsiTheme="minorHAnsi"/>
              </w:rPr>
              <w:t>1 400 000</w:t>
            </w:r>
          </w:p>
        </w:tc>
        <w:tc>
          <w:tcPr>
            <w:tcW w:w="1248" w:type="pct"/>
            <w:tcBorders>
              <w:top w:val="single" w:sz="4" w:space="0" w:color="auto"/>
              <w:left w:val="single" w:sz="4" w:space="0" w:color="auto"/>
              <w:bottom w:val="single" w:sz="4" w:space="0" w:color="auto"/>
              <w:right w:val="single" w:sz="4" w:space="0" w:color="auto"/>
            </w:tcBorders>
          </w:tcPr>
          <w:p w14:paraId="12414401" w14:textId="4BF04A9D" w:rsidR="00187C2C" w:rsidRPr="00A23581" w:rsidRDefault="001D7A2B">
            <w:pPr>
              <w:jc w:val="right"/>
              <w:rPr>
                <w:rFonts w:asciiTheme="minorHAnsi" w:hAnsiTheme="minorHAnsi"/>
              </w:rPr>
            </w:pPr>
            <w:r>
              <w:rPr>
                <w:rFonts w:asciiTheme="minorHAnsi" w:hAnsiTheme="minorHAnsi"/>
              </w:rPr>
              <w:t>1</w:t>
            </w:r>
            <w:r w:rsidR="00BA1467">
              <w:rPr>
                <w:rFonts w:asciiTheme="minorHAnsi" w:hAnsiTheme="minorHAnsi"/>
              </w:rPr>
              <w:t>40 000</w:t>
            </w:r>
          </w:p>
        </w:tc>
      </w:tr>
      <w:tr w:rsidR="006D6F53" w14:paraId="402FE3F9" w14:textId="77777777" w:rsidTr="00072163">
        <w:trPr>
          <w:trHeight w:val="215"/>
        </w:trPr>
        <w:tc>
          <w:tcPr>
            <w:tcW w:w="2667" w:type="pct"/>
            <w:tcBorders>
              <w:top w:val="single" w:sz="4" w:space="0" w:color="auto"/>
              <w:left w:val="single" w:sz="4" w:space="0" w:color="auto"/>
              <w:bottom w:val="single" w:sz="4" w:space="0" w:color="auto"/>
              <w:right w:val="single" w:sz="4" w:space="0" w:color="auto"/>
            </w:tcBorders>
            <w:hideMark/>
          </w:tcPr>
          <w:p w14:paraId="23B90BA3" w14:textId="77777777" w:rsidR="00187C2C" w:rsidRPr="00A23581" w:rsidRDefault="001D7A2B" w:rsidP="009956AA">
            <w:pPr>
              <w:jc w:val="left"/>
              <w:rPr>
                <w:rFonts w:asciiTheme="minorHAnsi" w:hAnsiTheme="minorHAnsi"/>
                <w:b/>
              </w:rPr>
            </w:pPr>
            <w:r w:rsidRPr="00A23581">
              <w:rPr>
                <w:rFonts w:asciiTheme="minorHAnsi" w:hAnsiTheme="minorHAnsi"/>
                <w:b/>
              </w:rPr>
              <w:t>Offentlig bidrag i ann</w:t>
            </w:r>
            <w:r w:rsidR="009956AA" w:rsidRPr="00A23581">
              <w:rPr>
                <w:rFonts w:asciiTheme="minorHAnsi" w:hAnsiTheme="minorHAnsi"/>
                <w:b/>
              </w:rPr>
              <w:t>e</w:t>
            </w:r>
            <w:r w:rsidRPr="00A23581">
              <w:rPr>
                <w:rFonts w:asciiTheme="minorHAnsi" w:hAnsiTheme="minorHAnsi"/>
                <w:b/>
              </w:rPr>
              <w:t xml:space="preserve">t </w:t>
            </w:r>
            <w:r w:rsidR="009956AA" w:rsidRPr="00A23581">
              <w:rPr>
                <w:rFonts w:asciiTheme="minorHAnsi" w:hAnsiTheme="minorHAnsi"/>
                <w:b/>
              </w:rPr>
              <w:t>en</w:t>
            </w:r>
            <w:r w:rsidRPr="00A23581">
              <w:rPr>
                <w:rFonts w:asciiTheme="minorHAnsi" w:hAnsiTheme="minorHAnsi"/>
                <w:b/>
              </w:rPr>
              <w:t>n peng</w:t>
            </w:r>
            <w:r w:rsidR="009956AA" w:rsidRPr="00A23581">
              <w:rPr>
                <w:rFonts w:asciiTheme="minorHAnsi" w:hAnsiTheme="minorHAnsi"/>
                <w:b/>
              </w:rPr>
              <w:t>e</w:t>
            </w:r>
            <w:r w:rsidRPr="00A23581">
              <w:rPr>
                <w:rFonts w:asciiTheme="minorHAnsi" w:hAnsiTheme="minorHAnsi"/>
                <w:b/>
              </w:rPr>
              <w:t>r:</w:t>
            </w:r>
          </w:p>
        </w:tc>
        <w:tc>
          <w:tcPr>
            <w:tcW w:w="1085" w:type="pct"/>
            <w:tcBorders>
              <w:top w:val="single" w:sz="4" w:space="0" w:color="auto"/>
              <w:left w:val="single" w:sz="4" w:space="0" w:color="auto"/>
              <w:bottom w:val="single" w:sz="4" w:space="0" w:color="auto"/>
              <w:right w:val="single" w:sz="4" w:space="0" w:color="auto"/>
            </w:tcBorders>
          </w:tcPr>
          <w:p w14:paraId="0D002517" w14:textId="7C05F725" w:rsidR="00187C2C" w:rsidRPr="00A23581" w:rsidRDefault="00BA1467">
            <w:pPr>
              <w:jc w:val="right"/>
              <w:rPr>
                <w:rFonts w:asciiTheme="minorHAnsi" w:hAnsiTheme="minorHAnsi"/>
                <w:b/>
              </w:rPr>
            </w:pPr>
            <w:r>
              <w:rPr>
                <w:rFonts w:asciiTheme="minorHAnsi" w:hAnsiTheme="minorHAnsi"/>
                <w:b/>
              </w:rPr>
              <w:t>400 000</w:t>
            </w:r>
          </w:p>
        </w:tc>
        <w:tc>
          <w:tcPr>
            <w:tcW w:w="1248" w:type="pct"/>
            <w:tcBorders>
              <w:top w:val="single" w:sz="4" w:space="0" w:color="auto"/>
              <w:left w:val="single" w:sz="4" w:space="0" w:color="auto"/>
              <w:bottom w:val="single" w:sz="4" w:space="0" w:color="auto"/>
              <w:right w:val="single" w:sz="4" w:space="0" w:color="auto"/>
            </w:tcBorders>
            <w:hideMark/>
          </w:tcPr>
          <w:p w14:paraId="599B91A9" w14:textId="535E982E" w:rsidR="00187C2C" w:rsidRPr="00A23581" w:rsidRDefault="00BA1467">
            <w:pPr>
              <w:jc w:val="right"/>
              <w:rPr>
                <w:rFonts w:asciiTheme="minorHAnsi" w:hAnsiTheme="minorHAnsi"/>
                <w:b/>
              </w:rPr>
            </w:pPr>
            <w:r>
              <w:rPr>
                <w:rFonts w:asciiTheme="minorHAnsi" w:hAnsiTheme="minorHAnsi"/>
                <w:b/>
              </w:rPr>
              <w:t>40 000</w:t>
            </w:r>
          </w:p>
        </w:tc>
      </w:tr>
      <w:tr w:rsidR="00BA1467" w14:paraId="4BC05AC1" w14:textId="77777777" w:rsidTr="00072163">
        <w:trPr>
          <w:trHeight w:val="215"/>
        </w:trPr>
        <w:tc>
          <w:tcPr>
            <w:tcW w:w="2667" w:type="pct"/>
            <w:tcBorders>
              <w:top w:val="single" w:sz="4" w:space="0" w:color="auto"/>
              <w:left w:val="single" w:sz="4" w:space="0" w:color="auto"/>
              <w:bottom w:val="single" w:sz="4" w:space="0" w:color="auto"/>
              <w:right w:val="single" w:sz="4" w:space="0" w:color="auto"/>
            </w:tcBorders>
          </w:tcPr>
          <w:p w14:paraId="140CF419" w14:textId="4D03801C" w:rsidR="00BA1467" w:rsidRPr="002E1F4B" w:rsidRDefault="00BA1467" w:rsidP="009956AA">
            <w:pPr>
              <w:rPr>
                <w:rFonts w:asciiTheme="minorHAnsi" w:hAnsiTheme="minorHAnsi"/>
                <w:bCs/>
              </w:rPr>
            </w:pPr>
            <w:r w:rsidRPr="002E1F4B">
              <w:rPr>
                <w:rFonts w:asciiTheme="minorHAnsi" w:hAnsiTheme="minorHAnsi"/>
                <w:bCs/>
              </w:rPr>
              <w:t>St. Olavs hospital</w:t>
            </w:r>
          </w:p>
        </w:tc>
        <w:tc>
          <w:tcPr>
            <w:tcW w:w="1085" w:type="pct"/>
            <w:tcBorders>
              <w:top w:val="single" w:sz="4" w:space="0" w:color="auto"/>
              <w:left w:val="single" w:sz="4" w:space="0" w:color="auto"/>
              <w:bottom w:val="single" w:sz="4" w:space="0" w:color="auto"/>
              <w:right w:val="single" w:sz="4" w:space="0" w:color="auto"/>
            </w:tcBorders>
          </w:tcPr>
          <w:p w14:paraId="4FFD2697" w14:textId="327444AB" w:rsidR="00BA1467" w:rsidRPr="00BA1467" w:rsidRDefault="00BA1467">
            <w:pPr>
              <w:jc w:val="right"/>
              <w:rPr>
                <w:rFonts w:asciiTheme="minorHAnsi" w:hAnsiTheme="minorHAnsi"/>
                <w:bCs/>
              </w:rPr>
            </w:pPr>
            <w:r w:rsidRPr="00BA1467">
              <w:rPr>
                <w:rFonts w:asciiTheme="minorHAnsi" w:hAnsiTheme="minorHAnsi"/>
                <w:bCs/>
              </w:rPr>
              <w:t>400 000</w:t>
            </w:r>
          </w:p>
        </w:tc>
        <w:tc>
          <w:tcPr>
            <w:tcW w:w="1248" w:type="pct"/>
            <w:tcBorders>
              <w:top w:val="single" w:sz="4" w:space="0" w:color="auto"/>
              <w:left w:val="single" w:sz="4" w:space="0" w:color="auto"/>
              <w:bottom w:val="single" w:sz="4" w:space="0" w:color="auto"/>
              <w:right w:val="single" w:sz="4" w:space="0" w:color="auto"/>
            </w:tcBorders>
          </w:tcPr>
          <w:p w14:paraId="3DBE61F2" w14:textId="611EE1D8" w:rsidR="00BA1467" w:rsidRPr="00BA1467" w:rsidRDefault="00BA1467">
            <w:pPr>
              <w:jc w:val="right"/>
              <w:rPr>
                <w:rFonts w:asciiTheme="minorHAnsi" w:hAnsiTheme="minorHAnsi"/>
                <w:bCs/>
              </w:rPr>
            </w:pPr>
            <w:r w:rsidRPr="00BA1467">
              <w:rPr>
                <w:rFonts w:asciiTheme="minorHAnsi" w:hAnsiTheme="minorHAnsi"/>
                <w:bCs/>
              </w:rPr>
              <w:t>40 000</w:t>
            </w:r>
          </w:p>
        </w:tc>
      </w:tr>
      <w:tr w:rsidR="006D6F53" w14:paraId="2E4E55E1" w14:textId="77777777" w:rsidTr="00072163">
        <w:tc>
          <w:tcPr>
            <w:tcW w:w="2667" w:type="pct"/>
            <w:tcBorders>
              <w:top w:val="single" w:sz="4" w:space="0" w:color="auto"/>
              <w:left w:val="single" w:sz="4" w:space="0" w:color="auto"/>
              <w:bottom w:val="single" w:sz="4" w:space="0" w:color="auto"/>
              <w:right w:val="single" w:sz="4" w:space="0" w:color="auto"/>
            </w:tcBorders>
            <w:hideMark/>
          </w:tcPr>
          <w:p w14:paraId="42A30864" w14:textId="77777777" w:rsidR="00187C2C" w:rsidRPr="00A23581" w:rsidRDefault="001D7A2B" w:rsidP="002B14B7">
            <w:pPr>
              <w:jc w:val="left"/>
              <w:rPr>
                <w:rFonts w:asciiTheme="minorHAnsi" w:hAnsiTheme="minorHAnsi"/>
                <w:b/>
              </w:rPr>
            </w:pPr>
            <w:r w:rsidRPr="00A23581">
              <w:rPr>
                <w:rFonts w:asciiTheme="minorHAnsi" w:hAnsiTheme="minorHAnsi"/>
                <w:b/>
              </w:rPr>
              <w:t>Total finansiering Norge</w:t>
            </w:r>
          </w:p>
        </w:tc>
        <w:tc>
          <w:tcPr>
            <w:tcW w:w="1085" w:type="pct"/>
            <w:tcBorders>
              <w:top w:val="single" w:sz="4" w:space="0" w:color="auto"/>
              <w:left w:val="single" w:sz="4" w:space="0" w:color="auto"/>
              <w:bottom w:val="single" w:sz="4" w:space="0" w:color="auto"/>
              <w:right w:val="single" w:sz="4" w:space="0" w:color="auto"/>
            </w:tcBorders>
            <w:hideMark/>
          </w:tcPr>
          <w:p w14:paraId="0385AC30" w14:textId="260F2C3E" w:rsidR="00187C2C" w:rsidRPr="00A23581" w:rsidRDefault="00BA1467" w:rsidP="00092793">
            <w:pPr>
              <w:jc w:val="right"/>
              <w:rPr>
                <w:rFonts w:asciiTheme="minorHAnsi" w:hAnsiTheme="minorHAnsi"/>
                <w:b/>
              </w:rPr>
            </w:pPr>
            <w:r>
              <w:rPr>
                <w:rFonts w:asciiTheme="minorHAnsi" w:hAnsiTheme="minorHAnsi"/>
                <w:b/>
              </w:rPr>
              <w:t>3 600 000</w:t>
            </w:r>
          </w:p>
        </w:tc>
        <w:tc>
          <w:tcPr>
            <w:tcW w:w="1248" w:type="pct"/>
            <w:tcBorders>
              <w:top w:val="single" w:sz="4" w:space="0" w:color="auto"/>
              <w:left w:val="single" w:sz="4" w:space="0" w:color="auto"/>
              <w:bottom w:val="single" w:sz="4" w:space="0" w:color="auto"/>
              <w:right w:val="single" w:sz="4" w:space="0" w:color="auto"/>
            </w:tcBorders>
            <w:hideMark/>
          </w:tcPr>
          <w:p w14:paraId="3A2B6855" w14:textId="77777777" w:rsidR="00187C2C" w:rsidRPr="00A23581" w:rsidRDefault="001D7A2B" w:rsidP="00092793">
            <w:pPr>
              <w:jc w:val="right"/>
              <w:rPr>
                <w:rFonts w:asciiTheme="minorHAnsi" w:hAnsiTheme="minorHAnsi"/>
                <w:b/>
              </w:rPr>
            </w:pPr>
            <w:r>
              <w:rPr>
                <w:rFonts w:asciiTheme="minorHAnsi" w:hAnsiTheme="minorHAnsi"/>
                <w:b/>
              </w:rPr>
              <w:t>360 000</w:t>
            </w:r>
          </w:p>
        </w:tc>
      </w:tr>
    </w:tbl>
    <w:p w14:paraId="0E4159C8" w14:textId="77777777" w:rsidR="00D41ED2" w:rsidRPr="004E2584" w:rsidRDefault="00D41ED2" w:rsidP="00EE4D0F">
      <w:pPr>
        <w:rPr>
          <w:rFonts w:ascii="Calibri" w:hAnsi="Calibri"/>
          <w:sz w:val="22"/>
          <w:szCs w:val="22"/>
        </w:rPr>
      </w:pPr>
    </w:p>
    <w:p w14:paraId="667EF687" w14:textId="7809DC7B" w:rsidR="0052131B" w:rsidRPr="00B424D4" w:rsidRDefault="001D7A2B" w:rsidP="00796EDF">
      <w:pPr>
        <w:rPr>
          <w:rFonts w:ascii="Calibri" w:hAnsi="Calibri"/>
          <w:sz w:val="22"/>
          <w:szCs w:val="22"/>
        </w:rPr>
      </w:pPr>
      <w:r w:rsidRPr="003618A9">
        <w:rPr>
          <w:rFonts w:ascii="Calibri" w:hAnsi="Calibri"/>
          <w:bCs/>
          <w:sz w:val="22"/>
          <w:szCs w:val="22"/>
        </w:rPr>
        <w:t xml:space="preserve">IR-midlers andel av den totala medfinansieringen i procent: </w:t>
      </w:r>
      <w:r>
        <w:rPr>
          <w:rFonts w:ascii="Calibri" w:hAnsi="Calibri"/>
          <w:bCs/>
          <w:sz w:val="22"/>
          <w:szCs w:val="22"/>
        </w:rPr>
        <w:t>50,00</w:t>
      </w:r>
      <w:r w:rsidR="00796EDF">
        <w:rPr>
          <w:rFonts w:ascii="Calibri" w:hAnsi="Calibri"/>
          <w:bCs/>
          <w:sz w:val="22"/>
          <w:szCs w:val="22"/>
        </w:rPr>
        <w:t xml:space="preserve"> </w:t>
      </w:r>
      <w:r w:rsidRPr="003618A9">
        <w:rPr>
          <w:rFonts w:ascii="Calibri" w:hAnsi="Calibri"/>
          <w:bCs/>
          <w:sz w:val="22"/>
          <w:szCs w:val="22"/>
        </w:rPr>
        <w:t>%</w:t>
      </w:r>
      <w:r w:rsidR="00DF7B43">
        <w:rPr>
          <w:rFonts w:ascii="Calibri" w:hAnsi="Calibri"/>
          <w:b/>
          <w:sz w:val="22"/>
          <w:szCs w:val="22"/>
        </w:rPr>
        <w:t xml:space="preserve"> </w:t>
      </w:r>
    </w:p>
    <w:sectPr w:rsidR="0052131B" w:rsidRPr="00B424D4" w:rsidSect="005E7F65">
      <w:headerReference w:type="default" r:id="rId11"/>
      <w:footerReference w:type="default" r:id="rId12"/>
      <w:headerReference w:type="first" r:id="rId13"/>
      <w:footerReference w:type="first" r:id="rId14"/>
      <w:type w:val="continuous"/>
      <w:pgSz w:w="11907" w:h="16840" w:code="9"/>
      <w:pgMar w:top="1111" w:right="1701" w:bottom="96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5679" w14:textId="77777777" w:rsidR="001D7A2B" w:rsidRDefault="001D7A2B">
      <w:r>
        <w:separator/>
      </w:r>
    </w:p>
  </w:endnote>
  <w:endnote w:type="continuationSeparator" w:id="0">
    <w:p w14:paraId="42FE7E66" w14:textId="77777777" w:rsidR="001D7A2B" w:rsidRDefault="001D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397881630"/>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6712007C" w14:textId="77777777" w:rsidR="00AE3271" w:rsidRPr="00AE3271" w:rsidRDefault="001D7A2B">
            <w:pPr>
              <w:pStyle w:val="Bunntekst"/>
              <w:jc w:val="right"/>
              <w:rPr>
                <w:rFonts w:asciiTheme="minorHAnsi" w:hAnsiTheme="minorHAnsi" w:cstheme="minorHAnsi"/>
                <w:sz w:val="22"/>
                <w:szCs w:val="22"/>
              </w:rPr>
            </w:pPr>
            <w:r w:rsidRPr="00AE3271">
              <w:rPr>
                <w:rFonts w:asciiTheme="minorHAnsi" w:hAnsiTheme="minorHAnsi" w:cstheme="minorHAnsi"/>
                <w:sz w:val="22"/>
                <w:szCs w:val="22"/>
              </w:rPr>
              <w:t xml:space="preserve">Side </w:t>
            </w:r>
            <w:r w:rsidRPr="00AE3271">
              <w:rPr>
                <w:rFonts w:asciiTheme="minorHAnsi" w:hAnsiTheme="minorHAnsi" w:cstheme="minorHAnsi"/>
                <w:b/>
                <w:bCs/>
                <w:sz w:val="22"/>
                <w:szCs w:val="22"/>
              </w:rPr>
              <w:fldChar w:fldCharType="begin"/>
            </w:r>
            <w:r w:rsidRPr="00AE3271">
              <w:rPr>
                <w:rFonts w:asciiTheme="minorHAnsi" w:hAnsiTheme="minorHAnsi" w:cstheme="minorHAnsi"/>
                <w:b/>
                <w:bCs/>
                <w:sz w:val="22"/>
                <w:szCs w:val="22"/>
              </w:rPr>
              <w:instrText>PAGE</w:instrText>
            </w:r>
            <w:r w:rsidRPr="00AE3271">
              <w:rPr>
                <w:rFonts w:asciiTheme="minorHAnsi" w:hAnsiTheme="minorHAnsi" w:cstheme="minorHAnsi"/>
                <w:b/>
                <w:bCs/>
                <w:sz w:val="22"/>
                <w:szCs w:val="22"/>
              </w:rPr>
              <w:fldChar w:fldCharType="separate"/>
            </w:r>
            <w:r w:rsidRPr="00AE3271">
              <w:rPr>
                <w:rFonts w:asciiTheme="minorHAnsi" w:hAnsiTheme="minorHAnsi" w:cstheme="minorHAnsi"/>
                <w:b/>
                <w:bCs/>
                <w:sz w:val="22"/>
                <w:szCs w:val="22"/>
              </w:rPr>
              <w:t>24</w:t>
            </w:r>
            <w:r w:rsidRPr="00AE3271">
              <w:rPr>
                <w:rFonts w:asciiTheme="minorHAnsi" w:hAnsiTheme="minorHAnsi" w:cstheme="minorHAnsi"/>
                <w:b/>
                <w:bCs/>
                <w:sz w:val="22"/>
                <w:szCs w:val="22"/>
              </w:rPr>
              <w:fldChar w:fldCharType="end"/>
            </w:r>
            <w:r w:rsidRPr="00AE3271">
              <w:rPr>
                <w:rFonts w:asciiTheme="minorHAnsi" w:hAnsiTheme="minorHAnsi" w:cstheme="minorHAnsi"/>
                <w:sz w:val="22"/>
                <w:szCs w:val="22"/>
              </w:rPr>
              <w:t xml:space="preserve"> av </w:t>
            </w:r>
            <w:r w:rsidRPr="00AE3271">
              <w:rPr>
                <w:rFonts w:asciiTheme="minorHAnsi" w:hAnsiTheme="minorHAnsi" w:cstheme="minorHAnsi"/>
                <w:b/>
                <w:bCs/>
                <w:sz w:val="22"/>
                <w:szCs w:val="22"/>
              </w:rPr>
              <w:fldChar w:fldCharType="begin"/>
            </w:r>
            <w:r w:rsidRPr="00AE3271">
              <w:rPr>
                <w:rFonts w:asciiTheme="minorHAnsi" w:hAnsiTheme="minorHAnsi" w:cstheme="minorHAnsi"/>
                <w:b/>
                <w:bCs/>
                <w:sz w:val="22"/>
                <w:szCs w:val="22"/>
              </w:rPr>
              <w:instrText>NUMPAGES</w:instrText>
            </w:r>
            <w:r w:rsidRPr="00AE3271">
              <w:rPr>
                <w:rFonts w:asciiTheme="minorHAnsi" w:hAnsiTheme="minorHAnsi" w:cstheme="minorHAnsi"/>
                <w:b/>
                <w:bCs/>
                <w:sz w:val="22"/>
                <w:szCs w:val="22"/>
              </w:rPr>
              <w:fldChar w:fldCharType="separate"/>
            </w:r>
            <w:r w:rsidRPr="00AE3271">
              <w:rPr>
                <w:rFonts w:asciiTheme="minorHAnsi" w:hAnsiTheme="minorHAnsi" w:cstheme="minorHAnsi"/>
                <w:b/>
                <w:bCs/>
                <w:sz w:val="22"/>
                <w:szCs w:val="22"/>
              </w:rPr>
              <w:t>24</w:t>
            </w:r>
            <w:r w:rsidRPr="00AE3271">
              <w:rPr>
                <w:rFonts w:asciiTheme="minorHAnsi" w:hAnsiTheme="minorHAnsi" w:cstheme="minorHAnsi"/>
                <w:b/>
                <w:bCs/>
                <w:sz w:val="22"/>
                <w:szCs w:val="22"/>
              </w:rPr>
              <w:fldChar w:fldCharType="end"/>
            </w:r>
          </w:p>
        </w:sdtContent>
      </w:sdt>
    </w:sdtContent>
  </w:sdt>
  <w:p w14:paraId="38A97FAC" w14:textId="77777777" w:rsidR="00B83AD8" w:rsidRDefault="00B83AD8" w:rsidP="00B83AD8">
    <w:pPr>
      <w:pStyle w:val="Bunntekst"/>
      <w:tabs>
        <w:tab w:val="left" w:pos="5201"/>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9F0A" w14:textId="77777777" w:rsidR="00B83AD8" w:rsidRDefault="001D7A2B" w:rsidP="00B83AD8">
    <w:pPr>
      <w:pStyle w:val="Bunntekst"/>
      <w:jc w:val="center"/>
      <w:rPr>
        <w:rFonts w:ascii="Arial" w:hAnsi="Arial" w:cs="Arial"/>
        <w:sz w:val="16"/>
        <w:szCs w:val="16"/>
      </w:rPr>
    </w:pPr>
    <w:r>
      <w:rPr>
        <w:rFonts w:ascii="Arial" w:hAnsi="Arial" w:cs="Arial"/>
        <w:sz w:val="16"/>
        <w:szCs w:val="16"/>
      </w:rPr>
      <w:t>1 (</w:t>
    </w:r>
    <w:r>
      <w:rPr>
        <w:rStyle w:val="Sidetall"/>
        <w:sz w:val="16"/>
        <w:szCs w:val="16"/>
      </w:rPr>
      <w:fldChar w:fldCharType="begin"/>
    </w:r>
    <w:r>
      <w:rPr>
        <w:rStyle w:val="Sidetall"/>
        <w:sz w:val="16"/>
        <w:szCs w:val="16"/>
      </w:rPr>
      <w:instrText xml:space="preserve"> NUMPAGES </w:instrText>
    </w:r>
    <w:r>
      <w:rPr>
        <w:rStyle w:val="Sidetall"/>
        <w:sz w:val="16"/>
        <w:szCs w:val="16"/>
      </w:rPr>
      <w:fldChar w:fldCharType="separate"/>
    </w:r>
    <w:r w:rsidR="005E7F65">
      <w:rPr>
        <w:rStyle w:val="Sidetall"/>
        <w:noProof/>
        <w:sz w:val="16"/>
        <w:szCs w:val="16"/>
      </w:rPr>
      <w:t>1</w:t>
    </w:r>
    <w:r>
      <w:rPr>
        <w:rStyle w:val="Sidetall"/>
        <w:sz w:val="16"/>
        <w:szCs w:val="16"/>
      </w:rPr>
      <w:fldChar w:fldCharType="end"/>
    </w:r>
    <w:r>
      <w:rPr>
        <w:rStyle w:val="Sidetal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AAE7" w14:textId="77777777" w:rsidR="001D7A2B" w:rsidRDefault="001D7A2B">
      <w:r>
        <w:separator/>
      </w:r>
    </w:p>
  </w:footnote>
  <w:footnote w:type="continuationSeparator" w:id="0">
    <w:p w14:paraId="02521156" w14:textId="77777777" w:rsidR="001D7A2B" w:rsidRDefault="001D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192" w:type="dxa"/>
      <w:tblInd w:w="-743" w:type="dxa"/>
      <w:tblLook w:val="04A0" w:firstRow="1" w:lastRow="0" w:firstColumn="1" w:lastColumn="0" w:noHBand="0" w:noVBand="1"/>
    </w:tblPr>
    <w:tblGrid>
      <w:gridCol w:w="4786"/>
      <w:gridCol w:w="1276"/>
      <w:gridCol w:w="2444"/>
      <w:gridCol w:w="2410"/>
      <w:gridCol w:w="1276"/>
    </w:tblGrid>
    <w:tr w:rsidR="006D6F53" w14:paraId="6DA8A7C3" w14:textId="77777777" w:rsidTr="00160DE2">
      <w:trPr>
        <w:trHeight w:val="340"/>
      </w:trPr>
      <w:tc>
        <w:tcPr>
          <w:tcW w:w="4786" w:type="dxa"/>
          <w:vMerge w:val="restart"/>
          <w:hideMark/>
        </w:tcPr>
        <w:p w14:paraId="2B8697C8" w14:textId="77777777" w:rsidR="009A2F37" w:rsidRDefault="001D7A2B">
          <w:pPr>
            <w:ind w:right="-709"/>
            <w:rPr>
              <w:rFonts w:ascii="Verdana" w:hAnsi="Verdana"/>
              <w:b/>
              <w:smallCaps/>
              <w:sz w:val="18"/>
              <w:szCs w:val="24"/>
            </w:rPr>
          </w:pPr>
          <w:r>
            <w:rPr>
              <w:noProof/>
            </w:rPr>
            <w:drawing>
              <wp:inline distT="0" distB="0" distL="0" distR="0" wp14:anchorId="2D3F4B14" wp14:editId="70300B37">
                <wp:extent cx="2491740" cy="762000"/>
                <wp:effectExtent l="0" t="0" r="3810" b="0"/>
                <wp:docPr id="1"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1740" cy="762000"/>
                        </a:xfrm>
                        <a:prstGeom prst="rect">
                          <a:avLst/>
                        </a:prstGeom>
                      </pic:spPr>
                    </pic:pic>
                  </a:graphicData>
                </a:graphic>
              </wp:inline>
            </w:drawing>
          </w:r>
        </w:p>
      </w:tc>
      <w:tc>
        <w:tcPr>
          <w:tcW w:w="1276" w:type="dxa"/>
        </w:tcPr>
        <w:p w14:paraId="65798CAD" w14:textId="77777777" w:rsidR="009A2F37" w:rsidRDefault="009A2F37">
          <w:pPr>
            <w:ind w:right="-709"/>
            <w:jc w:val="both"/>
            <w:rPr>
              <w:rFonts w:ascii="Verdana" w:hAnsi="Verdana"/>
              <w:b/>
              <w:smallCaps/>
              <w:sz w:val="18"/>
              <w:szCs w:val="24"/>
            </w:rPr>
          </w:pPr>
        </w:p>
      </w:tc>
      <w:tc>
        <w:tcPr>
          <w:tcW w:w="2444" w:type="dxa"/>
        </w:tcPr>
        <w:p w14:paraId="0316AB75" w14:textId="77777777" w:rsidR="009A2F37" w:rsidRDefault="009A2F37">
          <w:pPr>
            <w:ind w:right="-709"/>
            <w:jc w:val="both"/>
            <w:rPr>
              <w:rFonts w:ascii="Verdana" w:hAnsi="Verdana"/>
              <w:b/>
              <w:smallCaps/>
              <w:sz w:val="18"/>
              <w:szCs w:val="24"/>
            </w:rPr>
          </w:pPr>
        </w:p>
      </w:tc>
      <w:tc>
        <w:tcPr>
          <w:tcW w:w="2410" w:type="dxa"/>
        </w:tcPr>
        <w:p w14:paraId="17BC5C7B" w14:textId="77777777" w:rsidR="009A2F37" w:rsidRDefault="009A2F37">
          <w:pPr>
            <w:ind w:right="-709"/>
            <w:jc w:val="both"/>
            <w:rPr>
              <w:rFonts w:ascii="Verdana" w:hAnsi="Verdana"/>
              <w:b/>
              <w:smallCaps/>
              <w:sz w:val="18"/>
              <w:szCs w:val="24"/>
            </w:rPr>
          </w:pPr>
        </w:p>
      </w:tc>
      <w:tc>
        <w:tcPr>
          <w:tcW w:w="1276" w:type="dxa"/>
        </w:tcPr>
        <w:p w14:paraId="30349E46" w14:textId="77777777" w:rsidR="009A2F37" w:rsidRDefault="009A2F37">
          <w:pPr>
            <w:ind w:right="-709"/>
            <w:jc w:val="both"/>
            <w:rPr>
              <w:rFonts w:ascii="Verdana" w:hAnsi="Verdana"/>
              <w:b/>
              <w:smallCaps/>
              <w:sz w:val="18"/>
              <w:szCs w:val="24"/>
            </w:rPr>
          </w:pPr>
        </w:p>
      </w:tc>
    </w:tr>
    <w:tr w:rsidR="006D6F53" w14:paraId="37BB2AE9" w14:textId="77777777" w:rsidTr="00160DE2">
      <w:trPr>
        <w:trHeight w:val="461"/>
      </w:trPr>
      <w:tc>
        <w:tcPr>
          <w:tcW w:w="0" w:type="auto"/>
          <w:vMerge/>
          <w:vAlign w:val="center"/>
          <w:hideMark/>
        </w:tcPr>
        <w:p w14:paraId="7A38D6DA" w14:textId="77777777" w:rsidR="009A2F37" w:rsidRDefault="009A2F37">
          <w:pPr>
            <w:rPr>
              <w:rFonts w:ascii="Verdana" w:hAnsi="Verdana"/>
              <w:b/>
              <w:smallCaps/>
              <w:sz w:val="18"/>
              <w:szCs w:val="24"/>
            </w:rPr>
          </w:pPr>
        </w:p>
      </w:tc>
      <w:tc>
        <w:tcPr>
          <w:tcW w:w="1276" w:type="dxa"/>
          <w:vMerge w:val="restart"/>
          <w:hideMark/>
        </w:tcPr>
        <w:p w14:paraId="71976280" w14:textId="77777777" w:rsidR="009A2F37" w:rsidRPr="0076544D" w:rsidRDefault="001D7A2B">
          <w:pPr>
            <w:ind w:left="-108" w:right="-709"/>
            <w:rPr>
              <w:rFonts w:ascii="Verdana" w:hAnsi="Verdana"/>
              <w:b/>
              <w:smallCaps/>
              <w:sz w:val="18"/>
              <w:szCs w:val="18"/>
            </w:rPr>
          </w:pPr>
          <w:r w:rsidRPr="0076544D">
            <w:rPr>
              <w:rFonts w:ascii="Verdana" w:hAnsi="Verdana"/>
              <w:b/>
              <w:smallCaps/>
              <w:sz w:val="18"/>
              <w:szCs w:val="18"/>
            </w:rPr>
            <w:t>Ärende-id</w:t>
          </w:r>
        </w:p>
        <w:p w14:paraId="57AACBB3" w14:textId="77777777" w:rsidR="009A2F37" w:rsidRPr="00BE2A25" w:rsidRDefault="001D7A2B">
          <w:pPr>
            <w:ind w:left="-108" w:right="-709"/>
            <w:rPr>
              <w:rFonts w:ascii="Verdana" w:hAnsi="Verdana"/>
              <w:smallCaps/>
              <w:sz w:val="18"/>
              <w:szCs w:val="24"/>
            </w:rPr>
          </w:pPr>
          <w:r>
            <w:rPr>
              <w:rFonts w:ascii="Verdana" w:hAnsi="Verdana"/>
              <w:smallCaps/>
              <w:sz w:val="18"/>
              <w:szCs w:val="24"/>
            </w:rPr>
            <w:t>20375904</w:t>
          </w:r>
        </w:p>
      </w:tc>
      <w:tc>
        <w:tcPr>
          <w:tcW w:w="2444" w:type="dxa"/>
          <w:vMerge w:val="restart"/>
          <w:hideMark/>
        </w:tcPr>
        <w:p w14:paraId="4E556DF7" w14:textId="77777777" w:rsidR="009A2F37" w:rsidRPr="0076544D" w:rsidRDefault="001D7A2B">
          <w:pPr>
            <w:ind w:right="-709"/>
            <w:rPr>
              <w:rFonts w:ascii="Verdana" w:hAnsi="Verdana"/>
              <w:b/>
              <w:smallCaps/>
              <w:sz w:val="18"/>
              <w:szCs w:val="18"/>
            </w:rPr>
          </w:pPr>
          <w:r w:rsidRPr="0076544D">
            <w:rPr>
              <w:rFonts w:ascii="Verdana" w:hAnsi="Verdana"/>
              <w:b/>
              <w:smallCaps/>
              <w:sz w:val="18"/>
              <w:szCs w:val="18"/>
            </w:rPr>
            <w:t>Delområde</w:t>
          </w:r>
        </w:p>
        <w:p w14:paraId="3E6871B3" w14:textId="77777777" w:rsidR="009A2F37" w:rsidRPr="00937FC7" w:rsidRDefault="001D7A2B">
          <w:pPr>
            <w:ind w:right="-709"/>
            <w:rPr>
              <w:rFonts w:ascii="Verdana" w:hAnsi="Verdana"/>
              <w:smallCaps/>
              <w:sz w:val="18"/>
              <w:szCs w:val="18"/>
              <w:highlight w:val="yellow"/>
            </w:rPr>
          </w:pPr>
          <w:r>
            <w:rPr>
              <w:rFonts w:ascii="Verdana" w:hAnsi="Verdana"/>
              <w:smallCaps/>
              <w:sz w:val="18"/>
              <w:szCs w:val="18"/>
            </w:rPr>
            <w:t>Nordens Gröna Bälte</w:t>
          </w:r>
        </w:p>
      </w:tc>
      <w:tc>
        <w:tcPr>
          <w:tcW w:w="2410" w:type="dxa"/>
          <w:vMerge w:val="restart"/>
          <w:hideMark/>
        </w:tcPr>
        <w:p w14:paraId="47DEB91E" w14:textId="77777777" w:rsidR="009A2F37" w:rsidRDefault="001D7A2B">
          <w:pPr>
            <w:ind w:right="-709"/>
            <w:rPr>
              <w:rFonts w:ascii="Verdana" w:hAnsi="Verdana"/>
              <w:b/>
              <w:smallCaps/>
              <w:sz w:val="18"/>
              <w:szCs w:val="18"/>
            </w:rPr>
          </w:pPr>
          <w:r w:rsidRPr="0076544D">
            <w:rPr>
              <w:rFonts w:ascii="Verdana" w:hAnsi="Verdana"/>
              <w:b/>
              <w:smallCaps/>
              <w:sz w:val="18"/>
              <w:szCs w:val="18"/>
            </w:rPr>
            <w:t>Beslutsdatum</w:t>
          </w:r>
        </w:p>
        <w:p w14:paraId="6CDFE1FB" w14:textId="410A3B71" w:rsidR="00F00BE1" w:rsidRPr="00F00BE1" w:rsidRDefault="00F00BE1">
          <w:pPr>
            <w:ind w:right="-709"/>
            <w:rPr>
              <w:rFonts w:ascii="Verdana" w:hAnsi="Verdana"/>
              <w:bCs/>
              <w:smallCaps/>
              <w:sz w:val="18"/>
              <w:szCs w:val="18"/>
            </w:rPr>
          </w:pPr>
          <w:r w:rsidRPr="00F00BE1">
            <w:rPr>
              <w:rFonts w:ascii="Verdana" w:hAnsi="Verdana"/>
              <w:bCs/>
              <w:smallCaps/>
              <w:sz w:val="18"/>
              <w:szCs w:val="18"/>
            </w:rPr>
            <w:t>3 december 2025</w:t>
          </w:r>
        </w:p>
        <w:p w14:paraId="46708C9D" w14:textId="77777777" w:rsidR="009A2F37" w:rsidRDefault="009A2F37">
          <w:pPr>
            <w:ind w:right="-709"/>
            <w:rPr>
              <w:rFonts w:ascii="Verdana" w:hAnsi="Verdana"/>
              <w:smallCaps/>
              <w:sz w:val="18"/>
              <w:szCs w:val="24"/>
              <w:highlight w:val="green"/>
            </w:rPr>
          </w:pPr>
        </w:p>
      </w:tc>
      <w:tc>
        <w:tcPr>
          <w:tcW w:w="1276" w:type="dxa"/>
          <w:vMerge w:val="restart"/>
        </w:tcPr>
        <w:p w14:paraId="66CF3F45" w14:textId="77777777" w:rsidR="009A2F37" w:rsidRDefault="009A2F37">
          <w:pPr>
            <w:ind w:left="884" w:right="-709"/>
            <w:rPr>
              <w:rFonts w:ascii="Verdana" w:hAnsi="Verdana"/>
              <w:b/>
              <w:smallCaps/>
              <w:sz w:val="18"/>
              <w:szCs w:val="24"/>
            </w:rPr>
          </w:pPr>
        </w:p>
      </w:tc>
    </w:tr>
    <w:tr w:rsidR="006D6F53" w14:paraId="6EAEE951" w14:textId="77777777" w:rsidTr="00160DE2">
      <w:tc>
        <w:tcPr>
          <w:tcW w:w="4786" w:type="dxa"/>
        </w:tcPr>
        <w:p w14:paraId="2269F541" w14:textId="77777777" w:rsidR="009A2F37" w:rsidRDefault="009A2F37">
          <w:pPr>
            <w:ind w:right="-709"/>
            <w:jc w:val="both"/>
            <w:rPr>
              <w:rFonts w:ascii="Verdana" w:hAnsi="Verdana"/>
              <w:smallCaps/>
              <w:sz w:val="18"/>
              <w:szCs w:val="24"/>
            </w:rPr>
          </w:pPr>
        </w:p>
      </w:tc>
      <w:tc>
        <w:tcPr>
          <w:tcW w:w="0" w:type="auto"/>
          <w:vMerge/>
          <w:vAlign w:val="center"/>
          <w:hideMark/>
        </w:tcPr>
        <w:p w14:paraId="55F27276" w14:textId="77777777" w:rsidR="009A2F37" w:rsidRDefault="009A2F37">
          <w:pPr>
            <w:rPr>
              <w:rFonts w:ascii="Verdana" w:hAnsi="Verdana"/>
              <w:b/>
              <w:smallCaps/>
              <w:sz w:val="18"/>
              <w:szCs w:val="24"/>
              <w:highlight w:val="green"/>
            </w:rPr>
          </w:pPr>
        </w:p>
      </w:tc>
      <w:tc>
        <w:tcPr>
          <w:tcW w:w="2444" w:type="dxa"/>
          <w:vMerge/>
          <w:vAlign w:val="center"/>
          <w:hideMark/>
        </w:tcPr>
        <w:p w14:paraId="511E0D61" w14:textId="77777777" w:rsidR="009A2F37" w:rsidRDefault="009A2F37">
          <w:pPr>
            <w:rPr>
              <w:rFonts w:ascii="Verdana" w:hAnsi="Verdana"/>
              <w:smallCaps/>
              <w:sz w:val="18"/>
              <w:szCs w:val="24"/>
              <w:highlight w:val="green"/>
            </w:rPr>
          </w:pPr>
        </w:p>
      </w:tc>
      <w:tc>
        <w:tcPr>
          <w:tcW w:w="0" w:type="auto"/>
          <w:vMerge/>
          <w:vAlign w:val="center"/>
          <w:hideMark/>
        </w:tcPr>
        <w:p w14:paraId="08F42D64" w14:textId="77777777" w:rsidR="009A2F37" w:rsidRDefault="009A2F37">
          <w:pPr>
            <w:rPr>
              <w:rFonts w:ascii="Verdana" w:hAnsi="Verdana"/>
              <w:smallCaps/>
              <w:sz w:val="18"/>
              <w:szCs w:val="24"/>
              <w:highlight w:val="green"/>
            </w:rPr>
          </w:pPr>
        </w:p>
      </w:tc>
      <w:tc>
        <w:tcPr>
          <w:tcW w:w="0" w:type="auto"/>
          <w:vMerge/>
          <w:vAlign w:val="center"/>
          <w:hideMark/>
        </w:tcPr>
        <w:p w14:paraId="1A7DFF11" w14:textId="77777777" w:rsidR="009A2F37" w:rsidRDefault="009A2F37">
          <w:pPr>
            <w:rPr>
              <w:rFonts w:ascii="Verdana" w:hAnsi="Verdana"/>
              <w:b/>
              <w:smallCaps/>
              <w:sz w:val="18"/>
              <w:szCs w:val="24"/>
            </w:rPr>
          </w:pPr>
        </w:p>
      </w:tc>
    </w:tr>
  </w:tbl>
  <w:p w14:paraId="4739C6D4" w14:textId="77777777" w:rsidR="00B83AD8" w:rsidRPr="009A2F37" w:rsidRDefault="00B83AD8" w:rsidP="009A2F3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DB9E" w14:textId="77777777" w:rsidR="00B83AD8" w:rsidRDefault="001D7A2B" w:rsidP="00B83AD8">
    <w:pPr>
      <w:tabs>
        <w:tab w:val="right" w:pos="8504"/>
      </w:tabs>
      <w:ind w:left="-709"/>
      <w:rPr>
        <w:rStyle w:val="Sidetall"/>
      </w:rPr>
    </w:pPr>
    <w:r>
      <w:rPr>
        <w:rStyle w:val="Sidetall"/>
      </w:rPr>
      <w:tab/>
    </w:r>
    <w:r>
      <w:rPr>
        <w:noProof/>
      </w:rPr>
      <w:drawing>
        <wp:inline distT="0" distB="0" distL="0" distR="0" wp14:anchorId="7E2B2BB9" wp14:editId="59394407">
          <wp:extent cx="1076325" cy="419100"/>
          <wp:effectExtent l="0" t="0" r="9525" b="0"/>
          <wp:docPr id="2" name="Bildobjekt 1" descr="Tillvaxtverket_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Tillvaxtverket_3c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6325" cy="419100"/>
                  </a:xfrm>
                  <a:prstGeom prst="rect">
                    <a:avLst/>
                  </a:prstGeom>
                  <a:noFill/>
                  <a:ln>
                    <a:noFill/>
                  </a:ln>
                </pic:spPr>
              </pic:pic>
            </a:graphicData>
          </a:graphic>
        </wp:inline>
      </w:drawing>
    </w:r>
  </w:p>
  <w:p w14:paraId="3BFCEB74" w14:textId="77777777" w:rsidR="00B83AD8" w:rsidRDefault="00B83AD8" w:rsidP="00B83AD8">
    <w:pPr>
      <w:ind w:left="-709"/>
      <w:rPr>
        <w:rFonts w:ascii="Arial" w:hAnsi="Arial" w:cs="Arial"/>
        <w:sz w:val="16"/>
        <w:szCs w:val="16"/>
      </w:rPr>
    </w:pPr>
  </w:p>
  <w:p w14:paraId="70E19DAD" w14:textId="77777777" w:rsidR="00B83AD8" w:rsidRDefault="00B83AD8" w:rsidP="00B83AD8">
    <w:pPr>
      <w:ind w:left="-709"/>
      <w:rPr>
        <w:rFonts w:ascii="Arial" w:hAnsi="Arial" w:cs="Arial"/>
        <w:sz w:val="16"/>
        <w:szCs w:val="16"/>
      </w:rPr>
    </w:pPr>
  </w:p>
  <w:p w14:paraId="1A6ADC34" w14:textId="77777777" w:rsidR="00B83AD8" w:rsidRDefault="00B83AD8" w:rsidP="00B83AD8">
    <w:pPr>
      <w:ind w:left="-709"/>
      <w:rPr>
        <w:rFonts w:ascii="Arial" w:hAnsi="Arial" w:cs="Arial"/>
        <w:sz w:val="16"/>
        <w:szCs w:val="16"/>
      </w:rPr>
    </w:pPr>
  </w:p>
  <w:tbl>
    <w:tblPr>
      <w:tblW w:w="0" w:type="auto"/>
      <w:tblInd w:w="108" w:type="dxa"/>
      <w:tblLayout w:type="fixed"/>
      <w:tblLook w:val="01E0" w:firstRow="1" w:lastRow="1" w:firstColumn="1" w:lastColumn="1" w:noHBand="0" w:noVBand="0"/>
    </w:tblPr>
    <w:tblGrid>
      <w:gridCol w:w="1647"/>
      <w:gridCol w:w="2748"/>
      <w:gridCol w:w="2353"/>
      <w:gridCol w:w="1700"/>
    </w:tblGrid>
    <w:tr w:rsidR="006D6F53" w14:paraId="529CCC6A" w14:textId="77777777" w:rsidTr="00B83AD8">
      <w:tc>
        <w:tcPr>
          <w:tcW w:w="4395" w:type="dxa"/>
          <w:gridSpan w:val="2"/>
          <w:tcBorders>
            <w:top w:val="nil"/>
            <w:left w:val="nil"/>
            <w:bottom w:val="single" w:sz="4" w:space="0" w:color="auto"/>
            <w:right w:val="nil"/>
          </w:tcBorders>
          <w:hideMark/>
        </w:tcPr>
        <w:p w14:paraId="108E6F2A" w14:textId="77777777" w:rsidR="00B83AD8" w:rsidRDefault="001D7A2B">
          <w:pPr>
            <w:pStyle w:val="Ledtext"/>
          </w:pPr>
          <w:r>
            <w:t>Dokumentnamn</w:t>
          </w:r>
        </w:p>
      </w:tc>
      <w:tc>
        <w:tcPr>
          <w:tcW w:w="2353" w:type="dxa"/>
          <w:tcBorders>
            <w:top w:val="nil"/>
            <w:left w:val="nil"/>
            <w:bottom w:val="single" w:sz="4" w:space="0" w:color="auto"/>
            <w:right w:val="nil"/>
          </w:tcBorders>
          <w:hideMark/>
        </w:tcPr>
        <w:p w14:paraId="434B618B" w14:textId="77777777" w:rsidR="00B83AD8" w:rsidRDefault="001D7A2B">
          <w:pPr>
            <w:pStyle w:val="Ledtext"/>
          </w:pPr>
          <w:r>
            <w:t>Dokumenttyp</w:t>
          </w:r>
        </w:p>
      </w:tc>
      <w:tc>
        <w:tcPr>
          <w:tcW w:w="1700" w:type="dxa"/>
          <w:tcBorders>
            <w:top w:val="nil"/>
            <w:left w:val="nil"/>
            <w:bottom w:val="single" w:sz="4" w:space="0" w:color="auto"/>
            <w:right w:val="nil"/>
          </w:tcBorders>
          <w:hideMark/>
        </w:tcPr>
        <w:p w14:paraId="3DE9EFAE" w14:textId="77777777" w:rsidR="00B83AD8" w:rsidRDefault="001D7A2B">
          <w:pPr>
            <w:pStyle w:val="Ledtext"/>
          </w:pPr>
          <w:r>
            <w:t>Datum</w:t>
          </w:r>
        </w:p>
      </w:tc>
    </w:tr>
    <w:tr w:rsidR="006D6F53" w14:paraId="295D2432" w14:textId="77777777" w:rsidTr="00B83AD8">
      <w:trPr>
        <w:trHeight w:val="255"/>
      </w:trPr>
      <w:tc>
        <w:tcPr>
          <w:tcW w:w="4395" w:type="dxa"/>
          <w:gridSpan w:val="2"/>
          <w:tcBorders>
            <w:top w:val="single" w:sz="4" w:space="0" w:color="auto"/>
            <w:left w:val="nil"/>
            <w:bottom w:val="nil"/>
            <w:right w:val="nil"/>
          </w:tcBorders>
          <w:hideMark/>
        </w:tcPr>
        <w:p w14:paraId="645ACF0E" w14:textId="77777777" w:rsidR="00B83AD8" w:rsidRDefault="001D7A2B">
          <w:pPr>
            <w:pStyle w:val="Ledtext2"/>
          </w:pPr>
          <w:r>
            <w:t>dokumentnamn</w:t>
          </w:r>
        </w:p>
      </w:tc>
      <w:tc>
        <w:tcPr>
          <w:tcW w:w="2353" w:type="dxa"/>
          <w:tcBorders>
            <w:top w:val="single" w:sz="4" w:space="0" w:color="auto"/>
            <w:left w:val="nil"/>
            <w:bottom w:val="nil"/>
            <w:right w:val="nil"/>
          </w:tcBorders>
          <w:hideMark/>
        </w:tcPr>
        <w:p w14:paraId="0AC6300B" w14:textId="77777777" w:rsidR="00B83AD8" w:rsidRDefault="001D7A2B">
          <w:pPr>
            <w:pStyle w:val="Ledtext2"/>
          </w:pPr>
          <w:r>
            <w:t>dokumenttyp</w:t>
          </w:r>
        </w:p>
      </w:tc>
      <w:tc>
        <w:tcPr>
          <w:tcW w:w="1700" w:type="dxa"/>
          <w:tcBorders>
            <w:top w:val="single" w:sz="4" w:space="0" w:color="auto"/>
            <w:left w:val="nil"/>
            <w:bottom w:val="nil"/>
            <w:right w:val="nil"/>
          </w:tcBorders>
          <w:hideMark/>
        </w:tcPr>
        <w:p w14:paraId="702DD54F" w14:textId="77777777" w:rsidR="00B83AD8" w:rsidRDefault="001D7A2B">
          <w:pPr>
            <w:pStyle w:val="Ledtext2"/>
          </w:pPr>
          <w:r>
            <w:t>datum</w:t>
          </w:r>
        </w:p>
      </w:tc>
    </w:tr>
    <w:tr w:rsidR="006D6F53" w14:paraId="3F367166" w14:textId="77777777" w:rsidTr="00B83AD8">
      <w:tc>
        <w:tcPr>
          <w:tcW w:w="1647" w:type="dxa"/>
          <w:tcBorders>
            <w:top w:val="nil"/>
            <w:left w:val="nil"/>
            <w:bottom w:val="single" w:sz="4" w:space="0" w:color="auto"/>
            <w:right w:val="nil"/>
          </w:tcBorders>
          <w:hideMark/>
        </w:tcPr>
        <w:p w14:paraId="75426C99" w14:textId="77777777" w:rsidR="00B83AD8" w:rsidRDefault="001D7A2B">
          <w:pPr>
            <w:pStyle w:val="Ledtext"/>
          </w:pPr>
          <w:r>
            <w:t>Diarienr/Projektnr</w:t>
          </w:r>
        </w:p>
      </w:tc>
      <w:tc>
        <w:tcPr>
          <w:tcW w:w="2748" w:type="dxa"/>
          <w:tcBorders>
            <w:top w:val="nil"/>
            <w:left w:val="nil"/>
            <w:bottom w:val="single" w:sz="4" w:space="0" w:color="auto"/>
            <w:right w:val="nil"/>
          </w:tcBorders>
          <w:hideMark/>
        </w:tcPr>
        <w:p w14:paraId="104D3301" w14:textId="77777777" w:rsidR="00B83AD8" w:rsidRDefault="001D7A2B">
          <w:pPr>
            <w:pStyle w:val="Ledtext"/>
          </w:pPr>
          <w:r>
            <w:t>Upprättad av</w:t>
          </w:r>
        </w:p>
      </w:tc>
      <w:tc>
        <w:tcPr>
          <w:tcW w:w="2353" w:type="dxa"/>
          <w:tcBorders>
            <w:top w:val="nil"/>
            <w:left w:val="nil"/>
            <w:bottom w:val="single" w:sz="4" w:space="0" w:color="auto"/>
            <w:right w:val="nil"/>
          </w:tcBorders>
          <w:hideMark/>
        </w:tcPr>
        <w:p w14:paraId="7CAA65EE" w14:textId="77777777" w:rsidR="00B83AD8" w:rsidRDefault="001D7A2B">
          <w:pPr>
            <w:pStyle w:val="Ledtext"/>
          </w:pPr>
          <w:r>
            <w:t>Godkänd av</w:t>
          </w:r>
        </w:p>
      </w:tc>
      <w:tc>
        <w:tcPr>
          <w:tcW w:w="1700" w:type="dxa"/>
          <w:tcBorders>
            <w:top w:val="nil"/>
            <w:left w:val="nil"/>
            <w:bottom w:val="single" w:sz="4" w:space="0" w:color="auto"/>
            <w:right w:val="nil"/>
          </w:tcBorders>
          <w:hideMark/>
        </w:tcPr>
        <w:p w14:paraId="301560FC" w14:textId="77777777" w:rsidR="00B83AD8" w:rsidRDefault="001D7A2B">
          <w:pPr>
            <w:pStyle w:val="Ledtext"/>
          </w:pPr>
          <w:r>
            <w:t>Version</w:t>
          </w:r>
        </w:p>
      </w:tc>
    </w:tr>
    <w:tr w:rsidR="006D6F53" w14:paraId="0342ECA1" w14:textId="77777777" w:rsidTr="00B83AD8">
      <w:tc>
        <w:tcPr>
          <w:tcW w:w="1647" w:type="dxa"/>
          <w:tcBorders>
            <w:top w:val="single" w:sz="4" w:space="0" w:color="auto"/>
            <w:left w:val="nil"/>
            <w:bottom w:val="nil"/>
            <w:right w:val="nil"/>
          </w:tcBorders>
        </w:tcPr>
        <w:p w14:paraId="26A92555" w14:textId="77777777" w:rsidR="00B83AD8" w:rsidRDefault="00B83AD8">
          <w:pPr>
            <w:pStyle w:val="Ledtext2"/>
          </w:pPr>
        </w:p>
      </w:tc>
      <w:tc>
        <w:tcPr>
          <w:tcW w:w="2748" w:type="dxa"/>
          <w:tcBorders>
            <w:top w:val="single" w:sz="4" w:space="0" w:color="auto"/>
            <w:left w:val="nil"/>
            <w:bottom w:val="nil"/>
            <w:right w:val="nil"/>
          </w:tcBorders>
          <w:hideMark/>
        </w:tcPr>
        <w:p w14:paraId="4209E819" w14:textId="77777777" w:rsidR="00B83AD8" w:rsidRDefault="001D7A2B">
          <w:pPr>
            <w:pStyle w:val="Ledtext2"/>
          </w:pPr>
          <w:r>
            <w:t>Förnamn efternamn</w:t>
          </w:r>
        </w:p>
      </w:tc>
      <w:tc>
        <w:tcPr>
          <w:tcW w:w="2353" w:type="dxa"/>
          <w:tcBorders>
            <w:top w:val="single" w:sz="4" w:space="0" w:color="auto"/>
            <w:left w:val="nil"/>
            <w:bottom w:val="nil"/>
            <w:right w:val="nil"/>
          </w:tcBorders>
        </w:tcPr>
        <w:p w14:paraId="1119E618" w14:textId="77777777" w:rsidR="00B83AD8" w:rsidRDefault="00B83AD8">
          <w:pPr>
            <w:pStyle w:val="Ledtext2"/>
          </w:pPr>
        </w:p>
      </w:tc>
      <w:tc>
        <w:tcPr>
          <w:tcW w:w="1700" w:type="dxa"/>
          <w:tcBorders>
            <w:top w:val="single" w:sz="4" w:space="0" w:color="auto"/>
            <w:left w:val="nil"/>
            <w:bottom w:val="nil"/>
            <w:right w:val="nil"/>
          </w:tcBorders>
          <w:hideMark/>
        </w:tcPr>
        <w:p w14:paraId="299CE67C" w14:textId="77777777" w:rsidR="00B83AD8" w:rsidRDefault="001D7A2B">
          <w:pPr>
            <w:pStyle w:val="Ledtext2"/>
          </w:pPr>
          <w:r>
            <w:t>1.0</w:t>
          </w:r>
        </w:p>
      </w:tc>
    </w:tr>
  </w:tbl>
  <w:p w14:paraId="397C9E33" w14:textId="77777777" w:rsidR="00B83AD8" w:rsidRDefault="00B83AD8" w:rsidP="00B83AD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C30"/>
    <w:multiLevelType w:val="hybridMultilevel"/>
    <w:tmpl w:val="3E744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C9573C"/>
    <w:multiLevelType w:val="hybridMultilevel"/>
    <w:tmpl w:val="B6EC0F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F03BD9"/>
    <w:multiLevelType w:val="hybridMultilevel"/>
    <w:tmpl w:val="7E505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7A82BE2"/>
    <w:multiLevelType w:val="hybridMultilevel"/>
    <w:tmpl w:val="90860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DB0C8D"/>
    <w:multiLevelType w:val="multilevel"/>
    <w:tmpl w:val="C9EAA8E6"/>
    <w:lvl w:ilvl="0">
      <w:start w:val="1"/>
      <w:numFmt w:val="decimal"/>
      <w:pStyle w:val="Rubrik1numrerad"/>
      <w:lvlText w:val="%1"/>
      <w:lvlJc w:val="left"/>
      <w:pPr>
        <w:tabs>
          <w:tab w:val="num" w:pos="862"/>
        </w:tabs>
        <w:ind w:left="851" w:hanging="851"/>
      </w:pPr>
      <w:rPr>
        <w:rFonts w:hint="default"/>
      </w:rPr>
    </w:lvl>
    <w:lvl w:ilvl="1">
      <w:start w:val="1"/>
      <w:numFmt w:val="decimal"/>
      <w:pStyle w:val="Rubrik2numrerad"/>
      <w:lvlText w:val="%1.%2"/>
      <w:lvlJc w:val="left"/>
      <w:pPr>
        <w:tabs>
          <w:tab w:val="num" w:pos="862"/>
        </w:tabs>
        <w:ind w:left="862" w:hanging="862"/>
      </w:pPr>
      <w:rPr>
        <w:rFonts w:hint="default"/>
      </w:rPr>
    </w:lvl>
    <w:lvl w:ilvl="2">
      <w:start w:val="1"/>
      <w:numFmt w:val="decimal"/>
      <w:pStyle w:val="Rubrik3numrerad"/>
      <w:lvlText w:val="%1.%2.%3"/>
      <w:lvlJc w:val="left"/>
      <w:pPr>
        <w:tabs>
          <w:tab w:val="num" w:pos="862"/>
        </w:tabs>
        <w:ind w:left="862" w:hanging="862"/>
      </w:pPr>
      <w:rPr>
        <w:rFonts w:hint="default"/>
      </w:rPr>
    </w:lvl>
    <w:lvl w:ilvl="3">
      <w:start w:val="1"/>
      <w:numFmt w:val="decimal"/>
      <w:lvlText w:val="%1.%2.%3.%4"/>
      <w:lvlJc w:val="left"/>
      <w:pPr>
        <w:tabs>
          <w:tab w:val="num" w:pos="864"/>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C242F8E"/>
    <w:multiLevelType w:val="hybridMultilevel"/>
    <w:tmpl w:val="17CE8D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3CA4F51"/>
    <w:multiLevelType w:val="hybridMultilevel"/>
    <w:tmpl w:val="4B16E0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7526A51"/>
    <w:multiLevelType w:val="hybridMultilevel"/>
    <w:tmpl w:val="E2F45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F33A2B"/>
    <w:multiLevelType w:val="hybridMultilevel"/>
    <w:tmpl w:val="90FEE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CD71F14"/>
    <w:multiLevelType w:val="hybridMultilevel"/>
    <w:tmpl w:val="E758DE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C4B722C"/>
    <w:multiLevelType w:val="hybridMultilevel"/>
    <w:tmpl w:val="99422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E6C20A2"/>
    <w:multiLevelType w:val="hybridMultilevel"/>
    <w:tmpl w:val="2C343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FB115F"/>
    <w:multiLevelType w:val="hybridMultilevel"/>
    <w:tmpl w:val="4642C9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7987B64"/>
    <w:multiLevelType w:val="hybridMultilevel"/>
    <w:tmpl w:val="1FDA6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5A63AC2"/>
    <w:multiLevelType w:val="hybridMultilevel"/>
    <w:tmpl w:val="DA104D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C907B21"/>
    <w:multiLevelType w:val="hybridMultilevel"/>
    <w:tmpl w:val="E7DA1E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B341A6"/>
    <w:multiLevelType w:val="hybridMultilevel"/>
    <w:tmpl w:val="68B2C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65121095">
    <w:abstractNumId w:val="4"/>
  </w:num>
  <w:num w:numId="2" w16cid:durableId="1375231570">
    <w:abstractNumId w:val="4"/>
  </w:num>
  <w:num w:numId="3" w16cid:durableId="576551422">
    <w:abstractNumId w:val="4"/>
  </w:num>
  <w:num w:numId="4" w16cid:durableId="1975984769">
    <w:abstractNumId w:val="10"/>
  </w:num>
  <w:num w:numId="5" w16cid:durableId="1689912450">
    <w:abstractNumId w:val="1"/>
  </w:num>
  <w:num w:numId="6" w16cid:durableId="1263605008">
    <w:abstractNumId w:val="5"/>
  </w:num>
  <w:num w:numId="7" w16cid:durableId="424376721">
    <w:abstractNumId w:val="0"/>
  </w:num>
  <w:num w:numId="8" w16cid:durableId="1663653873">
    <w:abstractNumId w:val="15"/>
  </w:num>
  <w:num w:numId="9" w16cid:durableId="1058086590">
    <w:abstractNumId w:val="3"/>
  </w:num>
  <w:num w:numId="10" w16cid:durableId="144972898">
    <w:abstractNumId w:val="2"/>
  </w:num>
  <w:num w:numId="11" w16cid:durableId="349112309">
    <w:abstractNumId w:val="16"/>
  </w:num>
  <w:num w:numId="12" w16cid:durableId="1380939615">
    <w:abstractNumId w:val="9"/>
  </w:num>
  <w:num w:numId="13" w16cid:durableId="1370718155">
    <w:abstractNumId w:val="13"/>
  </w:num>
  <w:num w:numId="14" w16cid:durableId="1061173357">
    <w:abstractNumId w:val="12"/>
  </w:num>
  <w:num w:numId="15" w16cid:durableId="842278128">
    <w:abstractNumId w:val="7"/>
  </w:num>
  <w:num w:numId="16" w16cid:durableId="431052440">
    <w:abstractNumId w:val="8"/>
  </w:num>
  <w:num w:numId="17" w16cid:durableId="2034257346">
    <w:abstractNumId w:val="6"/>
  </w:num>
  <w:num w:numId="18" w16cid:durableId="2099254682">
    <w:abstractNumId w:val="14"/>
  </w:num>
  <w:num w:numId="19" w16cid:durableId="1490898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27"/>
    <w:rsid w:val="00030864"/>
    <w:rsid w:val="000308C9"/>
    <w:rsid w:val="00041260"/>
    <w:rsid w:val="00045196"/>
    <w:rsid w:val="000711C7"/>
    <w:rsid w:val="00072163"/>
    <w:rsid w:val="00092793"/>
    <w:rsid w:val="00092F1F"/>
    <w:rsid w:val="00093A97"/>
    <w:rsid w:val="000A0173"/>
    <w:rsid w:val="000A3112"/>
    <w:rsid w:val="000A596C"/>
    <w:rsid w:val="000A6305"/>
    <w:rsid w:val="000B1CFC"/>
    <w:rsid w:val="000B26D6"/>
    <w:rsid w:val="000D1617"/>
    <w:rsid w:val="0010025F"/>
    <w:rsid w:val="001226CD"/>
    <w:rsid w:val="00133B41"/>
    <w:rsid w:val="0013411F"/>
    <w:rsid w:val="001409DB"/>
    <w:rsid w:val="00140A7F"/>
    <w:rsid w:val="00142BC1"/>
    <w:rsid w:val="00160DE2"/>
    <w:rsid w:val="001650AC"/>
    <w:rsid w:val="00175667"/>
    <w:rsid w:val="00187C2C"/>
    <w:rsid w:val="001A031A"/>
    <w:rsid w:val="001A370D"/>
    <w:rsid w:val="001D7A2B"/>
    <w:rsid w:val="001E3115"/>
    <w:rsid w:val="001E43DE"/>
    <w:rsid w:val="001F0F73"/>
    <w:rsid w:val="00211762"/>
    <w:rsid w:val="002209A9"/>
    <w:rsid w:val="00234BCF"/>
    <w:rsid w:val="00240955"/>
    <w:rsid w:val="002757F8"/>
    <w:rsid w:val="0028396F"/>
    <w:rsid w:val="002901E7"/>
    <w:rsid w:val="00293BB9"/>
    <w:rsid w:val="002A1C64"/>
    <w:rsid w:val="002B14B7"/>
    <w:rsid w:val="002B2BA3"/>
    <w:rsid w:val="002C14F6"/>
    <w:rsid w:val="002C529A"/>
    <w:rsid w:val="002E1F4B"/>
    <w:rsid w:val="002F0C57"/>
    <w:rsid w:val="002F5978"/>
    <w:rsid w:val="0030106A"/>
    <w:rsid w:val="0032117F"/>
    <w:rsid w:val="003277AF"/>
    <w:rsid w:val="00361245"/>
    <w:rsid w:val="003618A9"/>
    <w:rsid w:val="00386C37"/>
    <w:rsid w:val="003B7902"/>
    <w:rsid w:val="003C1D18"/>
    <w:rsid w:val="003F5A76"/>
    <w:rsid w:val="00412266"/>
    <w:rsid w:val="004140B8"/>
    <w:rsid w:val="0042013D"/>
    <w:rsid w:val="004631C2"/>
    <w:rsid w:val="0047179D"/>
    <w:rsid w:val="004949A3"/>
    <w:rsid w:val="004C2C26"/>
    <w:rsid w:val="004E2584"/>
    <w:rsid w:val="004F0904"/>
    <w:rsid w:val="0051542F"/>
    <w:rsid w:val="00517C64"/>
    <w:rsid w:val="0052131B"/>
    <w:rsid w:val="0058052E"/>
    <w:rsid w:val="005A4950"/>
    <w:rsid w:val="005C20CE"/>
    <w:rsid w:val="005E2D89"/>
    <w:rsid w:val="005E7F65"/>
    <w:rsid w:val="005F201A"/>
    <w:rsid w:val="006629DB"/>
    <w:rsid w:val="006632FB"/>
    <w:rsid w:val="006B665D"/>
    <w:rsid w:val="006C6F9D"/>
    <w:rsid w:val="006C7AC4"/>
    <w:rsid w:val="006D6F53"/>
    <w:rsid w:val="00701F56"/>
    <w:rsid w:val="007318C7"/>
    <w:rsid w:val="007503C5"/>
    <w:rsid w:val="0076544D"/>
    <w:rsid w:val="0077368C"/>
    <w:rsid w:val="00781F13"/>
    <w:rsid w:val="00782D85"/>
    <w:rsid w:val="0079557F"/>
    <w:rsid w:val="007969C4"/>
    <w:rsid w:val="00796EDF"/>
    <w:rsid w:val="00797976"/>
    <w:rsid w:val="007C5857"/>
    <w:rsid w:val="007F44A3"/>
    <w:rsid w:val="00804F08"/>
    <w:rsid w:val="00817EFD"/>
    <w:rsid w:val="00840D10"/>
    <w:rsid w:val="00844C5F"/>
    <w:rsid w:val="00864260"/>
    <w:rsid w:val="00875235"/>
    <w:rsid w:val="008C187F"/>
    <w:rsid w:val="008C250C"/>
    <w:rsid w:val="008C7A23"/>
    <w:rsid w:val="008D0BCE"/>
    <w:rsid w:val="008E4009"/>
    <w:rsid w:val="008F01EE"/>
    <w:rsid w:val="008F3D1D"/>
    <w:rsid w:val="00935E73"/>
    <w:rsid w:val="00937FC7"/>
    <w:rsid w:val="00950656"/>
    <w:rsid w:val="0095753C"/>
    <w:rsid w:val="009657F7"/>
    <w:rsid w:val="00970003"/>
    <w:rsid w:val="00972D9F"/>
    <w:rsid w:val="00986D5A"/>
    <w:rsid w:val="009956AA"/>
    <w:rsid w:val="009A2F37"/>
    <w:rsid w:val="009F2124"/>
    <w:rsid w:val="00A12469"/>
    <w:rsid w:val="00A13192"/>
    <w:rsid w:val="00A23581"/>
    <w:rsid w:val="00A35309"/>
    <w:rsid w:val="00A4119A"/>
    <w:rsid w:val="00A47A18"/>
    <w:rsid w:val="00A53F21"/>
    <w:rsid w:val="00A665F9"/>
    <w:rsid w:val="00A94AFD"/>
    <w:rsid w:val="00A964B8"/>
    <w:rsid w:val="00AC618B"/>
    <w:rsid w:val="00AD336A"/>
    <w:rsid w:val="00AE3271"/>
    <w:rsid w:val="00B424D4"/>
    <w:rsid w:val="00B74769"/>
    <w:rsid w:val="00B81E1F"/>
    <w:rsid w:val="00B82215"/>
    <w:rsid w:val="00B83AD8"/>
    <w:rsid w:val="00B93327"/>
    <w:rsid w:val="00BA1467"/>
    <w:rsid w:val="00BB07D7"/>
    <w:rsid w:val="00BC2206"/>
    <w:rsid w:val="00BD2476"/>
    <w:rsid w:val="00BE2A25"/>
    <w:rsid w:val="00BE3FD8"/>
    <w:rsid w:val="00C038B8"/>
    <w:rsid w:val="00C14338"/>
    <w:rsid w:val="00C32E5B"/>
    <w:rsid w:val="00C92446"/>
    <w:rsid w:val="00CA5DDC"/>
    <w:rsid w:val="00CA65C0"/>
    <w:rsid w:val="00CB1790"/>
    <w:rsid w:val="00CB48D5"/>
    <w:rsid w:val="00CD7EFA"/>
    <w:rsid w:val="00CE5032"/>
    <w:rsid w:val="00CF5919"/>
    <w:rsid w:val="00D14C6F"/>
    <w:rsid w:val="00D1577F"/>
    <w:rsid w:val="00D368E8"/>
    <w:rsid w:val="00D41ED2"/>
    <w:rsid w:val="00D500C4"/>
    <w:rsid w:val="00D55009"/>
    <w:rsid w:val="00D65D92"/>
    <w:rsid w:val="00D80764"/>
    <w:rsid w:val="00DA170A"/>
    <w:rsid w:val="00DA49B8"/>
    <w:rsid w:val="00DB3818"/>
    <w:rsid w:val="00DC27C1"/>
    <w:rsid w:val="00DF3D35"/>
    <w:rsid w:val="00DF7B43"/>
    <w:rsid w:val="00E101FD"/>
    <w:rsid w:val="00E345E1"/>
    <w:rsid w:val="00E41CBC"/>
    <w:rsid w:val="00E62779"/>
    <w:rsid w:val="00E66CD0"/>
    <w:rsid w:val="00E723DD"/>
    <w:rsid w:val="00E77665"/>
    <w:rsid w:val="00EA01C2"/>
    <w:rsid w:val="00EA4F48"/>
    <w:rsid w:val="00EA5B76"/>
    <w:rsid w:val="00EC47B2"/>
    <w:rsid w:val="00EC6D5A"/>
    <w:rsid w:val="00ED5F7A"/>
    <w:rsid w:val="00EE4D0F"/>
    <w:rsid w:val="00F00BE1"/>
    <w:rsid w:val="00F17877"/>
    <w:rsid w:val="00F54358"/>
    <w:rsid w:val="00F6368E"/>
    <w:rsid w:val="00F71C00"/>
    <w:rsid w:val="00F724FF"/>
    <w:rsid w:val="00F96617"/>
    <w:rsid w:val="00FB30F8"/>
    <w:rsid w:val="00FF1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D9EE"/>
  <w15:docId w15:val="{219E66BA-1A7B-40AA-A62C-A98E3651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27"/>
    <w:pPr>
      <w:spacing w:after="0" w:line="240" w:lineRule="auto"/>
    </w:pPr>
    <w:rPr>
      <w:rFonts w:ascii="Georgia" w:eastAsia="Times New Roman" w:hAnsi="Georgia" w:cs="Times New Roman"/>
      <w:sz w:val="20"/>
      <w:szCs w:val="20"/>
      <w:lang w:val="sv-SE" w:eastAsia="sv-SE"/>
    </w:rPr>
  </w:style>
  <w:style w:type="paragraph" w:styleId="Overskrift1">
    <w:name w:val="heading 1"/>
    <w:basedOn w:val="Normal"/>
    <w:next w:val="Normal"/>
    <w:link w:val="Overskrift1Tegn"/>
    <w:qFormat/>
    <w:rsid w:val="00B93327"/>
    <w:pPr>
      <w:keepNext/>
      <w:spacing w:before="240" w:after="60"/>
      <w:outlineLvl w:val="0"/>
    </w:pPr>
    <w:rPr>
      <w:rFonts w:ascii="Arial" w:hAnsi="Arial" w:cs="Arial"/>
      <w:b/>
      <w:bCs/>
      <w:kern w:val="32"/>
      <w:sz w:val="28"/>
      <w:szCs w:val="32"/>
    </w:rPr>
  </w:style>
  <w:style w:type="paragraph" w:styleId="Overskrift2">
    <w:name w:val="heading 2"/>
    <w:basedOn w:val="Normal"/>
    <w:next w:val="Normal"/>
    <w:link w:val="Overskrift2Tegn"/>
    <w:qFormat/>
    <w:rsid w:val="00B93327"/>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B93327"/>
    <w:pPr>
      <w:keepNext/>
      <w:spacing w:before="240" w:after="60"/>
      <w:outlineLvl w:val="2"/>
    </w:pPr>
    <w:rPr>
      <w:rFonts w:ascii="Arial" w:hAnsi="Arial" w:cs="Arial"/>
      <w:b/>
      <w:bCs/>
      <w:szCs w:val="26"/>
    </w:rPr>
  </w:style>
  <w:style w:type="paragraph" w:styleId="Overskrift4">
    <w:name w:val="heading 4"/>
    <w:basedOn w:val="Overskrift3"/>
    <w:next w:val="Normal"/>
    <w:link w:val="Overskrift4Tegn"/>
    <w:qFormat/>
    <w:rsid w:val="00B93327"/>
    <w:pPr>
      <w:outlineLvl w:val="3"/>
    </w:pPr>
    <w:rPr>
      <w:bCs w:val="0"/>
      <w:sz w:val="2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93327"/>
    <w:pPr>
      <w:tabs>
        <w:tab w:val="center" w:pos="4536"/>
        <w:tab w:val="right" w:pos="9072"/>
      </w:tabs>
    </w:pPr>
  </w:style>
  <w:style w:type="character" w:customStyle="1" w:styleId="TopptekstTegn">
    <w:name w:val="Topptekst Tegn"/>
    <w:basedOn w:val="Standardskriftforavsnitt"/>
    <w:link w:val="Topptekst"/>
    <w:rsid w:val="00841CD9"/>
    <w:rPr>
      <w:rFonts w:ascii="Georgia" w:eastAsia="Times New Roman" w:hAnsi="Georgia" w:cs="Times New Roman"/>
      <w:sz w:val="20"/>
      <w:szCs w:val="20"/>
      <w:lang w:val="sv-SE" w:eastAsia="sv-SE"/>
    </w:rPr>
  </w:style>
  <w:style w:type="character" w:customStyle="1" w:styleId="Overskrift1Tegn">
    <w:name w:val="Overskrift 1 Tegn"/>
    <w:basedOn w:val="Standardskriftforavsnitt"/>
    <w:link w:val="Overskrift1"/>
    <w:rsid w:val="00841CD9"/>
    <w:rPr>
      <w:rFonts w:ascii="Arial" w:eastAsia="Times New Roman" w:hAnsi="Arial" w:cs="Arial"/>
      <w:b/>
      <w:bCs/>
      <w:kern w:val="32"/>
      <w:sz w:val="28"/>
      <w:szCs w:val="32"/>
      <w:lang w:val="sv-SE" w:eastAsia="sv-SE"/>
    </w:rPr>
  </w:style>
  <w:style w:type="character" w:customStyle="1" w:styleId="Overskrift2Tegn">
    <w:name w:val="Overskrift 2 Tegn"/>
    <w:basedOn w:val="Standardskriftforavsnitt"/>
    <w:link w:val="Overskrift2"/>
    <w:rsid w:val="00841CD9"/>
    <w:rPr>
      <w:rFonts w:ascii="Arial" w:eastAsia="Times New Roman" w:hAnsi="Arial" w:cs="Arial"/>
      <w:b/>
      <w:bCs/>
      <w:iCs/>
      <w:sz w:val="24"/>
      <w:szCs w:val="28"/>
      <w:lang w:val="sv-SE" w:eastAsia="sv-SE"/>
    </w:rPr>
  </w:style>
  <w:style w:type="character" w:customStyle="1" w:styleId="Overskrift3Tegn">
    <w:name w:val="Overskrift 3 Tegn"/>
    <w:basedOn w:val="Standardskriftforavsnitt"/>
    <w:link w:val="Overskrift3"/>
    <w:rsid w:val="00841CD9"/>
    <w:rPr>
      <w:rFonts w:ascii="Arial" w:eastAsia="Times New Roman" w:hAnsi="Arial" w:cs="Arial"/>
      <w:b/>
      <w:bCs/>
      <w:sz w:val="20"/>
      <w:szCs w:val="26"/>
      <w:lang w:val="sv-SE" w:eastAsia="sv-SE"/>
    </w:rPr>
  </w:style>
  <w:style w:type="character" w:customStyle="1" w:styleId="Overskrift4Tegn">
    <w:name w:val="Overskrift 4 Tegn"/>
    <w:basedOn w:val="Standardskriftforavsnitt"/>
    <w:link w:val="Overskrift4"/>
    <w:rsid w:val="00841CD9"/>
    <w:rPr>
      <w:rFonts w:ascii="Arial" w:eastAsia="Times New Roman" w:hAnsi="Arial" w:cs="Arial"/>
      <w:b/>
      <w:sz w:val="24"/>
      <w:szCs w:val="28"/>
      <w:lang w:val="sv-SE" w:eastAsia="sv-SE"/>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sid w:val="00B93327"/>
    <w:rPr>
      <w:color w:val="0000FF" w:themeColor="hyperlink"/>
      <w:u w:val="single"/>
    </w:rPr>
  </w:style>
  <w:style w:type="table" w:styleId="Tabellrutenett">
    <w:name w:val="Table Grid"/>
    <w:basedOn w:val="Vanligtabell"/>
    <w:rsid w:val="00B93327"/>
    <w:pPr>
      <w:spacing w:after="0" w:line="240"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semiHidden/>
    <w:rsid w:val="00B93327"/>
    <w:rPr>
      <w:rFonts w:ascii="Tahoma" w:hAnsi="Tahoma" w:cs="Tahoma"/>
      <w:sz w:val="16"/>
      <w:szCs w:val="16"/>
    </w:rPr>
  </w:style>
  <w:style w:type="character" w:customStyle="1" w:styleId="BobletekstTegn">
    <w:name w:val="Bobletekst Tegn"/>
    <w:basedOn w:val="Standardskriftforavsnitt"/>
    <w:link w:val="Bobletekst"/>
    <w:semiHidden/>
    <w:rsid w:val="00B93327"/>
    <w:rPr>
      <w:rFonts w:ascii="Tahoma" w:eastAsia="Times New Roman" w:hAnsi="Tahoma" w:cs="Tahoma"/>
      <w:sz w:val="16"/>
      <w:szCs w:val="16"/>
      <w:lang w:val="sv-SE" w:eastAsia="sv-SE"/>
    </w:rPr>
  </w:style>
  <w:style w:type="paragraph" w:styleId="INNH1">
    <w:name w:val="toc 1"/>
    <w:basedOn w:val="Normal"/>
    <w:next w:val="Normal"/>
    <w:autoRedefine/>
    <w:uiPriority w:val="39"/>
    <w:rsid w:val="00B93327"/>
    <w:pPr>
      <w:spacing w:after="100"/>
    </w:pPr>
  </w:style>
  <w:style w:type="paragraph" w:styleId="INNH2">
    <w:name w:val="toc 2"/>
    <w:basedOn w:val="Normal"/>
    <w:next w:val="Normal"/>
    <w:autoRedefine/>
    <w:uiPriority w:val="39"/>
    <w:rsid w:val="00B93327"/>
    <w:pPr>
      <w:spacing w:after="100"/>
      <w:ind w:left="200"/>
    </w:pPr>
  </w:style>
  <w:style w:type="paragraph" w:styleId="Overskriftforinnholdsfortegnelse">
    <w:name w:val="TOC Heading"/>
    <w:basedOn w:val="Overskrift1"/>
    <w:next w:val="Normal"/>
    <w:uiPriority w:val="39"/>
    <w:semiHidden/>
    <w:unhideWhenUsed/>
    <w:qFormat/>
    <w:rsid w:val="00B93327"/>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Ledtext">
    <w:name w:val="Ledtext"/>
    <w:basedOn w:val="Normal"/>
    <w:qFormat/>
    <w:rsid w:val="00B93327"/>
    <w:rPr>
      <w:rFonts w:ascii="Arial" w:hAnsi="Arial" w:cs="Arial"/>
      <w:b/>
      <w:sz w:val="16"/>
      <w:szCs w:val="16"/>
    </w:rPr>
  </w:style>
  <w:style w:type="paragraph" w:customStyle="1" w:styleId="Ledtext2">
    <w:name w:val="Ledtext 2"/>
    <w:basedOn w:val="Ledtext"/>
    <w:qFormat/>
    <w:rsid w:val="00B93327"/>
    <w:rPr>
      <w:b w:val="0"/>
    </w:rPr>
  </w:style>
  <w:style w:type="paragraph" w:styleId="Listeavsnitt">
    <w:name w:val="List Paragraph"/>
    <w:basedOn w:val="Normal"/>
    <w:uiPriority w:val="34"/>
    <w:rsid w:val="00B93327"/>
    <w:pPr>
      <w:ind w:left="720"/>
      <w:contextualSpacing/>
    </w:pPr>
  </w:style>
  <w:style w:type="table" w:styleId="Lyslisteuthevingsfarge3">
    <w:name w:val="Light List Accent 3"/>
    <w:basedOn w:val="Vanligtabell"/>
    <w:uiPriority w:val="61"/>
    <w:rsid w:val="00B93327"/>
    <w:pPr>
      <w:spacing w:after="0" w:line="240" w:lineRule="auto"/>
    </w:pPr>
    <w:rPr>
      <w:rFonts w:eastAsiaTheme="minorEastAsia"/>
      <w:lang w:val="sv-SE" w:eastAsia="sv-S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Rubrik1numrerad">
    <w:name w:val="Rubrik 1 numrerad"/>
    <w:basedOn w:val="Overskrift1"/>
    <w:next w:val="Normal"/>
    <w:qFormat/>
    <w:rsid w:val="00B93327"/>
    <w:pPr>
      <w:numPr>
        <w:numId w:val="3"/>
      </w:numPr>
    </w:pPr>
  </w:style>
  <w:style w:type="paragraph" w:customStyle="1" w:styleId="Rubrik2numrerad">
    <w:name w:val="Rubrik 2 numrerad"/>
    <w:basedOn w:val="Overskrift2"/>
    <w:next w:val="Normal"/>
    <w:qFormat/>
    <w:rsid w:val="00B93327"/>
    <w:pPr>
      <w:numPr>
        <w:ilvl w:val="1"/>
        <w:numId w:val="3"/>
      </w:numPr>
      <w:tabs>
        <w:tab w:val="left" w:pos="4820"/>
      </w:tabs>
      <w:spacing w:before="0" w:after="0"/>
    </w:pPr>
    <w:rPr>
      <w:rFonts w:cs="Times New Roman"/>
      <w:bCs w:val="0"/>
      <w:iCs w:val="0"/>
      <w:szCs w:val="20"/>
    </w:rPr>
  </w:style>
  <w:style w:type="paragraph" w:customStyle="1" w:styleId="Rubrik3numrerad">
    <w:name w:val="Rubrik 3 numrerad"/>
    <w:basedOn w:val="Overskrift3"/>
    <w:next w:val="Normal"/>
    <w:qFormat/>
    <w:rsid w:val="00B93327"/>
    <w:pPr>
      <w:numPr>
        <w:ilvl w:val="2"/>
        <w:numId w:val="3"/>
      </w:numPr>
      <w:spacing w:after="0"/>
    </w:pPr>
    <w:rPr>
      <w:rFonts w:cs="Times New Roman"/>
      <w:bCs w:val="0"/>
      <w:szCs w:val="20"/>
    </w:rPr>
  </w:style>
  <w:style w:type="paragraph" w:styleId="Bunntekst">
    <w:name w:val="footer"/>
    <w:basedOn w:val="Normal"/>
    <w:link w:val="BunntekstTegn"/>
    <w:uiPriority w:val="99"/>
    <w:rsid w:val="00B93327"/>
    <w:pPr>
      <w:tabs>
        <w:tab w:val="center" w:pos="4536"/>
        <w:tab w:val="right" w:pos="9072"/>
      </w:tabs>
    </w:pPr>
  </w:style>
  <w:style w:type="character" w:customStyle="1" w:styleId="BunntekstTegn">
    <w:name w:val="Bunntekst Tegn"/>
    <w:basedOn w:val="Standardskriftforavsnitt"/>
    <w:link w:val="Bunntekst"/>
    <w:uiPriority w:val="99"/>
    <w:rsid w:val="00B93327"/>
    <w:rPr>
      <w:rFonts w:ascii="Georgia" w:eastAsia="Times New Roman" w:hAnsi="Georgia" w:cs="Times New Roman"/>
      <w:sz w:val="20"/>
      <w:szCs w:val="20"/>
      <w:lang w:val="sv-SE" w:eastAsia="sv-SE"/>
    </w:rPr>
  </w:style>
  <w:style w:type="character" w:styleId="Sidetall">
    <w:name w:val="page number"/>
    <w:basedOn w:val="Standardskriftforavsnitt"/>
    <w:semiHidden/>
    <w:rsid w:val="00B93327"/>
  </w:style>
  <w:style w:type="table" w:styleId="Tabell-klassisk4">
    <w:name w:val="Table Classic 4"/>
    <w:basedOn w:val="Vanligtabell"/>
    <w:rsid w:val="00B93327"/>
    <w:pPr>
      <w:spacing w:after="0" w:line="240" w:lineRule="auto"/>
    </w:pPr>
    <w:rPr>
      <w:rFonts w:ascii="Times New Roman" w:eastAsia="Times New Roman" w:hAnsi="Times New Roman" w:cs="Times New Roman"/>
      <w:sz w:val="20"/>
      <w:szCs w:val="20"/>
      <w:lang w:val="sv-SE"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elltext">
    <w:name w:val="Tabelltext"/>
    <w:basedOn w:val="Normal"/>
    <w:semiHidden/>
    <w:rsid w:val="00B93327"/>
    <w:pPr>
      <w:autoSpaceDE w:val="0"/>
      <w:autoSpaceDN w:val="0"/>
      <w:spacing w:before="60" w:after="60"/>
    </w:pPr>
  </w:style>
  <w:style w:type="paragraph" w:styleId="Brdtekst">
    <w:name w:val="Body Text"/>
    <w:basedOn w:val="Normal"/>
    <w:link w:val="BrdtekstTegn"/>
    <w:rsid w:val="00293BB9"/>
    <w:rPr>
      <w:rFonts w:ascii="Palatino" w:hAnsi="Palatino" w:cs="Times"/>
      <w:sz w:val="24"/>
      <w:lang w:eastAsia="ar-SA"/>
    </w:rPr>
  </w:style>
  <w:style w:type="character" w:customStyle="1" w:styleId="BrdtekstTegn">
    <w:name w:val="Brødtekst Tegn"/>
    <w:basedOn w:val="Standardskriftforavsnitt"/>
    <w:link w:val="Brdtekst"/>
    <w:rsid w:val="00293BB9"/>
    <w:rPr>
      <w:rFonts w:ascii="Palatino" w:eastAsia="Times New Roman" w:hAnsi="Palatino" w:cs="Times"/>
      <w:sz w:val="24"/>
      <w:szCs w:val="20"/>
      <w:lang w:val="sv-SE" w:eastAsia="ar-SA"/>
    </w:rPr>
  </w:style>
  <w:style w:type="paragraph" w:styleId="Merknadstekst">
    <w:name w:val="annotation text"/>
    <w:basedOn w:val="Normal"/>
    <w:link w:val="MerknadstekstTegn"/>
    <w:uiPriority w:val="99"/>
    <w:unhideWhenUsed/>
    <w:rsid w:val="00C32E5B"/>
    <w:pPr>
      <w:widowControl w:val="0"/>
      <w:autoSpaceDE w:val="0"/>
      <w:autoSpaceDN w:val="0"/>
    </w:pPr>
    <w:rPr>
      <w:rFonts w:ascii="Calibri" w:eastAsia="Calibri" w:hAnsi="Calibri" w:cs="Calibri"/>
      <w:lang w:bidi="sv-SE"/>
    </w:rPr>
  </w:style>
  <w:style w:type="character" w:customStyle="1" w:styleId="MerknadstekstTegn">
    <w:name w:val="Merknadstekst Tegn"/>
    <w:basedOn w:val="Standardskriftforavsnitt"/>
    <w:link w:val="Merknadstekst"/>
    <w:uiPriority w:val="99"/>
    <w:rsid w:val="00C32E5B"/>
    <w:rPr>
      <w:rFonts w:ascii="Calibri" w:eastAsia="Calibri" w:hAnsi="Calibri" w:cs="Calibri"/>
      <w:sz w:val="20"/>
      <w:szCs w:val="20"/>
      <w:lang w:val="sv-SE" w:eastAsia="sv-SE" w:bidi="sv-SE"/>
    </w:rPr>
  </w:style>
  <w:style w:type="character" w:styleId="Merknadsreferanse">
    <w:name w:val="annotation reference"/>
    <w:basedOn w:val="Standardskriftforavsnitt"/>
    <w:uiPriority w:val="99"/>
    <w:semiHidden/>
    <w:unhideWhenUsed/>
    <w:rsid w:val="00C32E5B"/>
    <w:rPr>
      <w:sz w:val="16"/>
      <w:szCs w:val="16"/>
    </w:rPr>
  </w:style>
  <w:style w:type="character" w:styleId="Svakutheving">
    <w:name w:val="Subtle Emphasis"/>
    <w:basedOn w:val="Standardskriftforavsnitt"/>
    <w:uiPriority w:val="19"/>
    <w:qFormat/>
    <w:rsid w:val="00305CB1"/>
    <w:rPr>
      <w:i/>
      <w:iCs/>
      <w:color w:val="808080" w:themeColor="text1" w:themeTint="7F"/>
    </w:rPr>
  </w:style>
  <w:style w:type="paragraph" w:styleId="Kommentaremne">
    <w:name w:val="annotation subject"/>
    <w:basedOn w:val="Merknadstekst"/>
    <w:next w:val="Merknadstekst"/>
    <w:link w:val="KommentaremneTegn"/>
    <w:uiPriority w:val="99"/>
    <w:semiHidden/>
    <w:unhideWhenUsed/>
    <w:rsid w:val="007318C7"/>
    <w:pPr>
      <w:widowControl/>
      <w:autoSpaceDE/>
      <w:autoSpaceDN/>
    </w:pPr>
    <w:rPr>
      <w:rFonts w:ascii="Georgia" w:eastAsia="Times New Roman" w:hAnsi="Georgia" w:cs="Times New Roman"/>
      <w:b/>
      <w:bCs/>
      <w:lang w:bidi="ar-SA"/>
    </w:rPr>
  </w:style>
  <w:style w:type="character" w:customStyle="1" w:styleId="KommentaremneTegn">
    <w:name w:val="Kommentaremne Tegn"/>
    <w:basedOn w:val="MerknadstekstTegn"/>
    <w:link w:val="Kommentaremne"/>
    <w:uiPriority w:val="99"/>
    <w:semiHidden/>
    <w:rsid w:val="007318C7"/>
    <w:rPr>
      <w:rFonts w:ascii="Georgia" w:eastAsia="Times New Roman" w:hAnsi="Georgia" w:cs="Times New Roman"/>
      <w:b/>
      <w:bCs/>
      <w:sz w:val="20"/>
      <w:szCs w:val="20"/>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2204">
      <w:bodyDiv w:val="1"/>
      <w:marLeft w:val="0"/>
      <w:marRight w:val="0"/>
      <w:marTop w:val="0"/>
      <w:marBottom w:val="0"/>
      <w:divBdr>
        <w:top w:val="none" w:sz="0" w:space="0" w:color="auto"/>
        <w:left w:val="none" w:sz="0" w:space="0" w:color="auto"/>
        <w:bottom w:val="none" w:sz="0" w:space="0" w:color="auto"/>
        <w:right w:val="none" w:sz="0" w:space="0" w:color="auto"/>
      </w:divBdr>
    </w:div>
    <w:div w:id="63159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C895100A63D634C9445B80E960D306B" ma:contentTypeVersion="6" ma:contentTypeDescription="Opprett et nytt dokument." ma:contentTypeScope="" ma:versionID="aeb6ce5d05b98dc1c2b7d07bc6f8c927">
  <xsd:schema xmlns:xsd="http://www.w3.org/2001/XMLSchema" xmlns:xs="http://www.w3.org/2001/XMLSchema" xmlns:p="http://schemas.microsoft.com/office/2006/metadata/properties" xmlns:ns2="ac099008-1ee3-4987-a12e-df34877e0d3f" xmlns:ns3="c710fbba-5a70-42f0-8158-4ca48b911d29" targetNamespace="http://schemas.microsoft.com/office/2006/metadata/properties" ma:root="true" ma:fieldsID="b95256b1cc612f0d661507fea200d924" ns2:_="" ns3:_="">
    <xsd:import namespace="ac099008-1ee3-4987-a12e-df34877e0d3f"/>
    <xsd:import namespace="c710fbba-5a70-42f0-8158-4ca48b911d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99008-1ee3-4987-a12e-df34877e0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0fbba-5a70-42f0-8158-4ca48b911d2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B563-822D-4BBD-A655-3746AB5EF20C}"/>
</file>

<file path=customXml/itemProps2.xml><?xml version="1.0" encoding="utf-8"?>
<ds:datastoreItem xmlns:ds="http://schemas.openxmlformats.org/officeDocument/2006/customXml" ds:itemID="{30B70C20-23C3-46E2-A057-3CC213302CA2}">
  <ds:schemaRefs>
    <ds:schemaRef ds:uri="http://purl.org/dc/elements/1.1/"/>
    <ds:schemaRef ds:uri="http://schemas.microsoft.com/office/2006/metadata/properties"/>
    <ds:schemaRef ds:uri="eea35754-c60b-4021-a99d-e49a1ea7e7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4F169F3-A1E6-4890-8D16-CDF033561716}"/>
</file>

<file path=customXml/itemProps4.xml><?xml version="1.0" encoding="utf-8"?>
<ds:datastoreItem xmlns:ds="http://schemas.openxmlformats.org/officeDocument/2006/customXml" ds:itemID="{908A7129-F2AC-43E5-A60E-5A6C3FAE6587}">
  <ds:schemaRefs>
    <ds:schemaRef ds:uri="http://schemas.openxmlformats.org/officeDocument/2006/bibliography"/>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88</TotalTime>
  <Pages>14</Pages>
  <Words>6604</Words>
  <Characters>35007</Characters>
  <Application>Microsoft Office Word</Application>
  <DocSecurity>0</DocSecurity>
  <Lines>291</Lines>
  <Paragraphs>83</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Systemintegration NYPS2020</dc:creator>
  <cp:lastModifiedBy>Sidsel Trønsdal</cp:lastModifiedBy>
  <cp:revision>3</cp:revision>
  <cp:lastPrinted>2025-10-10T11:49:00Z</cp:lastPrinted>
  <dcterms:created xsi:type="dcterms:W3CDTF">2025-12-12T09:00:00Z</dcterms:created>
  <dcterms:modified xsi:type="dcterms:W3CDTF">2025-12-12T09:00:00Z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smartdocsys</vt:lpwstr>
  </property>
  <property fmtid="{D5CDD505-2E9C-101B-9397-08002B2CF9AE}" pid="3" name="Header">
    <vt:lpwstr>lst-z-sidfot-prioritering-2027</vt:lpwstr>
  </property>
  <property fmtid="{D5CDD505-2E9C-101B-9397-08002B2CF9AE}" pid="4" name="HeaderId">
    <vt:lpwstr>73053C3C64D14C60A007EAD093C9D734</vt:lpwstr>
  </property>
  <property fmtid="{D5CDD505-2E9C-101B-9397-08002B2CF9AE}" pid="5" name="Template">
    <vt:lpwstr>Prioriteringsunderlag-eu_2027_sv-no</vt:lpwstr>
  </property>
  <property fmtid="{D5CDD505-2E9C-101B-9397-08002B2CF9AE}" pid="6" name="TemplateId">
    <vt:lpwstr>945DEE231A1E47798EE94CF9A2B58BBE</vt:lpwstr>
  </property>
  <property fmtid="{D5CDD505-2E9C-101B-9397-08002B2CF9AE}" pid="7" name="Typist">
    <vt:lpwstr>smartdocsys</vt:lpwstr>
  </property>
  <property fmtid="{D5CDD505-2E9C-101B-9397-08002B2CF9AE}" pid="8" name="ContentTypeId">
    <vt:lpwstr>0x0101007C895100A63D634C9445B80E960D306B</vt:lpwstr>
  </property>
</Properties>
</file>