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6E6E3F" w:rsidRDefault="0011507D" w:rsidP="006E6E3F">
      <w:pPr>
        <w:spacing w:line="240" w:lineRule="auto"/>
        <w:ind w:left="-851"/>
        <w:jc w:val="center"/>
        <w:rPr>
          <w:rFonts w:ascii="Arial" w:hAnsi="Arial" w:cs="Arial"/>
          <w:sz w:val="40"/>
          <w:szCs w:val="40"/>
          <w:lang w:val="en-US"/>
        </w:rPr>
      </w:pPr>
      <w:r w:rsidRPr="006E6E3F">
        <w:rPr>
          <w:rFonts w:ascii="Arial" w:hAnsi="Arial" w:cs="Arial"/>
          <w:sz w:val="40"/>
          <w:szCs w:val="40"/>
          <w:lang w:val="en-US"/>
        </w:rPr>
        <w:t>Sweden</w:t>
      </w:r>
      <w:r w:rsidR="00D9510F" w:rsidRPr="006E6E3F">
        <w:rPr>
          <w:rFonts w:ascii="Arial" w:hAnsi="Arial" w:cs="Arial"/>
          <w:sz w:val="40"/>
          <w:szCs w:val="40"/>
          <w:lang w:val="en-US"/>
        </w:rPr>
        <w:t xml:space="preserve"> </w:t>
      </w:r>
      <w:r w:rsidR="00D9510F">
        <w:rPr>
          <w:rFonts w:ascii="Arial" w:hAnsi="Arial" w:cs="Arial"/>
          <w:sz w:val="40"/>
          <w:szCs w:val="40"/>
          <w:lang w:val="en-US"/>
        </w:rPr>
        <w:t>–</w:t>
      </w:r>
      <w:r w:rsidR="00D9510F" w:rsidRPr="00D9510F">
        <w:rPr>
          <w:rFonts w:ascii="Arial" w:hAnsi="Arial" w:cs="Arial"/>
          <w:sz w:val="40"/>
          <w:szCs w:val="40"/>
          <w:lang w:val="en-US"/>
        </w:rPr>
        <w:t xml:space="preserve"> </w:t>
      </w:r>
      <w:r w:rsidR="00D9510F" w:rsidRPr="006E6E3F">
        <w:rPr>
          <w:rFonts w:ascii="Arial" w:hAnsi="Arial" w:cs="Arial"/>
          <w:sz w:val="40"/>
          <w:szCs w:val="40"/>
          <w:lang w:val="en-US"/>
        </w:rPr>
        <w:t>Norway</w:t>
      </w:r>
    </w:p>
    <w:p w:rsidR="00E613A3" w:rsidRDefault="00723E6D" w:rsidP="00337519">
      <w:pPr>
        <w:spacing w:after="0" w:line="240" w:lineRule="auto"/>
        <w:ind w:left="-851"/>
        <w:jc w:val="center"/>
        <w:rPr>
          <w:rFonts w:ascii="Arial" w:hAnsi="Arial" w:cs="Arial"/>
          <w:sz w:val="32"/>
          <w:szCs w:val="32"/>
          <w:lang w:val="en-US"/>
        </w:rPr>
      </w:pPr>
      <w:r>
        <w:rPr>
          <w:rFonts w:ascii="Arial" w:hAnsi="Arial" w:cs="Arial"/>
          <w:noProof/>
          <w:sz w:val="32"/>
          <w:szCs w:val="32"/>
          <w:lang w:val="nb-NO" w:eastAsia="nb-NO"/>
        </w:rPr>
        <w:drawing>
          <wp:anchor distT="0" distB="0" distL="114300" distR="114300" simplePos="0" relativeHeight="251679232" behindDoc="0" locked="0" layoutInCell="1" allowOverlap="1">
            <wp:simplePos x="0" y="0"/>
            <wp:positionH relativeFrom="column">
              <wp:posOffset>2883535</wp:posOffset>
            </wp:positionH>
            <wp:positionV relativeFrom="paragraph">
              <wp:posOffset>4023995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11507D">
        <w:rPr>
          <w:rFonts w:ascii="Arial" w:hAnsi="Arial" w:cs="Arial"/>
          <w:noProof/>
          <w:sz w:val="32"/>
          <w:szCs w:val="32"/>
          <w:lang w:val="nb-NO" w:eastAsia="nb-NO"/>
        </w:rPr>
        <w:drawing>
          <wp:inline distT="0" distB="0" distL="0" distR="0">
            <wp:extent cx="2638425" cy="4762500"/>
            <wp:effectExtent l="19050" t="0" r="9525" b="0"/>
            <wp:docPr id="2" name="Bild 1" descr="P:\LU_2011_ESPON_TerrEvi_100269\03_Project development\Dani\Cover Maps\Sweden_Nor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Sweden_Norway.jpg"/>
                    <pic:cNvPicPr>
                      <a:picLocks noChangeAspect="1" noChangeArrowheads="1"/>
                    </pic:cNvPicPr>
                  </pic:nvPicPr>
                  <pic:blipFill>
                    <a:blip r:embed="rId12" cstate="print"/>
                    <a:srcRect/>
                    <a:stretch>
                      <a:fillRect/>
                    </a:stretch>
                  </pic:blipFill>
                  <pic:spPr bwMode="auto">
                    <a:xfrm>
                      <a:off x="0" y="0"/>
                      <a:ext cx="2638425" cy="47625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6E6E3F" w:rsidRDefault="006E6E3F" w:rsidP="006E6E3F">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6E6E3F" w:rsidRDefault="006E6E3F" w:rsidP="006E6E3F">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Overskrift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2721C9" w:rsidRPr="0085195F" w:rsidRDefault="000A647A" w:rsidP="002721C9">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2721C9" w:rsidRPr="0085195F">
        <w:t>This is intended as an electronic publication so map quality is generally high to allow users to zoom into specific territories.</w:t>
      </w:r>
    </w:p>
    <w:p w:rsidR="000A647A" w:rsidRDefault="002721C9" w:rsidP="002721C9">
      <w:pPr>
        <w:shd w:val="clear" w:color="auto" w:fill="FFFFFF"/>
      </w:pPr>
      <w:r w:rsidRPr="0085195F">
        <w:t>This factsheet does not necessarily reflect the opinion of the ESPON Monitoring Committee.</w:t>
      </w:r>
    </w:p>
    <w:p w:rsidR="00A433AA" w:rsidRDefault="00A433AA" w:rsidP="00BA161A">
      <w:pPr>
        <w:pStyle w:val="Overskrift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4757FB" w:rsidRDefault="004757FB" w:rsidP="004757FB">
      <w:r>
        <w:t xml:space="preserve">In the following the traffic light for each indicator represents how your programme territory compares to wider European and national medians where green = your programme area performs better for that indicator, yellow = similar, and red = </w:t>
      </w:r>
      <w:r w:rsidR="002721C9">
        <w:t>worse.</w:t>
      </w:r>
    </w:p>
    <w:p w:rsidR="00BD242E" w:rsidRDefault="00BD242E" w:rsidP="00BD242E">
      <w:r>
        <w:t>In creating the traffic</w:t>
      </w:r>
      <w:r w:rsidR="004757FB">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F951A0" w:rsidRPr="00973E76" w:rsidRDefault="00F951A0" w:rsidP="00F951A0">
      <w:pPr>
        <w:spacing w:after="240"/>
        <w:rPr>
          <w:lang w:val="en-US"/>
        </w:rPr>
      </w:pPr>
      <w:r>
        <w:t>EU 27+4 in Traffic Lights and box-plots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337872" w:rsidRDefault="00337872" w:rsidP="00337872">
      <w:pPr>
        <w:pStyle w:val="Overskrift3"/>
      </w:pPr>
      <w:r w:rsidRPr="00A44E29">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A44E29" w:rsidRDefault="00ED5E74" w:rsidP="00ED5E74">
      <w:r>
        <w:rPr>
          <w:noProof/>
          <w:lang w:val="nb-NO" w:eastAsia="nb-NO"/>
        </w:rPr>
        <w:drawing>
          <wp:anchor distT="0" distB="0" distL="114300" distR="114300" simplePos="0" relativeHeight="251688448" behindDoc="1" locked="0" layoutInCell="1" allowOverlap="1">
            <wp:simplePos x="0" y="0"/>
            <wp:positionH relativeFrom="column">
              <wp:posOffset>26035</wp:posOffset>
            </wp:positionH>
            <wp:positionV relativeFrom="paragraph">
              <wp:posOffset>26035</wp:posOffset>
            </wp:positionV>
            <wp:extent cx="5272405" cy="2721610"/>
            <wp:effectExtent l="19050" t="0" r="4445" b="0"/>
            <wp:wrapTight wrapText="bothSides">
              <wp:wrapPolygon edited="0">
                <wp:start x="-78" y="0"/>
                <wp:lineTo x="-78" y="20562"/>
                <wp:lineTo x="21618" y="20562"/>
                <wp:lineTo x="21618" y="0"/>
                <wp:lineTo x="-78" y="0"/>
              </wp:wrapPolygon>
            </wp:wrapTight>
            <wp:docPr id="8" name="Bild 1" descr="C:\Dokumente und Einstellungen\pucher\Desktop\TL_CBC1\CBC_TL_Sweden_Norway_SE&amp;NO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Sweden_Norway_SE&amp;NO1a.png"/>
                    <pic:cNvPicPr>
                      <a:picLocks noChangeAspect="1" noChangeArrowheads="1"/>
                    </pic:cNvPicPr>
                  </pic:nvPicPr>
                  <pic:blipFill>
                    <a:blip r:embed="rId16" cstate="print"/>
                    <a:srcRect/>
                    <a:stretch>
                      <a:fillRect/>
                    </a:stretch>
                  </pic:blipFill>
                  <pic:spPr bwMode="auto">
                    <a:xfrm>
                      <a:off x="0" y="0"/>
                      <a:ext cx="5272405" cy="2721610"/>
                    </a:xfrm>
                    <a:prstGeom prst="rect">
                      <a:avLst/>
                    </a:prstGeom>
                    <a:noFill/>
                    <a:ln w="9525">
                      <a:noFill/>
                      <a:miter lim="800000"/>
                      <a:headEnd/>
                      <a:tailEnd/>
                    </a:ln>
                  </pic:spPr>
                </pic:pic>
              </a:graphicData>
            </a:graphic>
          </wp:anchor>
        </w:drawing>
      </w:r>
      <w:r w:rsidR="00A44E29">
        <w:t xml:space="preserve">According to all indicators reported above, the </w:t>
      </w:r>
      <w:r w:rsidR="0045231F">
        <w:t xml:space="preserve">Sweden – Norway </w:t>
      </w:r>
      <w:r w:rsidR="00A44E29">
        <w:t xml:space="preserve">CBC area performs at a not better level than the EU27+4 space and all CBC ones. Considering the objective of R&amp;D expenditure of  percentage of the GDP - one of </w:t>
      </w:r>
      <w:r w:rsidR="00A44E29" w:rsidRPr="00903B79">
        <w:t xml:space="preserve">the five headline targets in the Europe 2020 Strategy - the CBC area is in a similar position to the EU27+4 space and all CBC. Moreover, </w:t>
      </w:r>
      <w:r w:rsidR="003B4B6F">
        <w:t xml:space="preserve">the </w:t>
      </w:r>
      <w:r w:rsidR="00A44E29" w:rsidRPr="00903B79">
        <w:t>CBC area is characterized by a high level of internal disparity and performs worse than Sweden.</w:t>
      </w:r>
    </w:p>
    <w:p w:rsidR="00A44E29" w:rsidRDefault="00A44E29" w:rsidP="00A44E29">
      <w:r>
        <w:t xml:space="preserve">Concerning the ratio of employment in knowledge-intensive service to the total employment in 2010, the CBC area has </w:t>
      </w:r>
      <w:r w:rsidRPr="00441A2C">
        <w:t>higher values than both the EU27+4 space and all CBCs; similar to Norway and Sweden. The distribution inside the CBC results in a low level of internal disparity.</w:t>
      </w:r>
      <w:r>
        <w:t xml:space="preserve"> </w:t>
      </w:r>
    </w:p>
    <w:p w:rsidR="00A44E29" w:rsidRDefault="00A44E29" w:rsidP="00A44E29">
      <w:r w:rsidRPr="00441A2C">
        <w:t xml:space="preserve">In terms of the percentage of individuals regularly using internet in 2011, the CBC has higher values than the EU27+4 space and all CBCs, but it performs </w:t>
      </w:r>
      <w:r>
        <w:t>slightly worse than</w:t>
      </w:r>
      <w:r w:rsidRPr="00441A2C">
        <w:t xml:space="preserve"> Norway and </w:t>
      </w:r>
      <w:r>
        <w:t xml:space="preserve">slightly better than </w:t>
      </w:r>
      <w:r w:rsidRPr="00441A2C">
        <w:t>Sweden, with a low internal disparity.</w:t>
      </w:r>
    </w:p>
    <w:p w:rsidR="00A44E29" w:rsidRDefault="00A44E29" w:rsidP="00CF4A17">
      <w:r>
        <w:t xml:space="preserve">According to the classification of the KIT project, MAP 1 identifies the following territorial patterns of innovation, basically keeping up with national borders: </w:t>
      </w:r>
    </w:p>
    <w:p w:rsidR="00A44E29" w:rsidRDefault="00A44E29" w:rsidP="00CF4A17">
      <w:pPr>
        <w:pStyle w:val="Listeavsnitt"/>
        <w:numPr>
          <w:ilvl w:val="0"/>
          <w:numId w:val="25"/>
        </w:numPr>
        <w:rPr>
          <w:szCs w:val="20"/>
        </w:rPr>
      </w:pPr>
      <w:r>
        <w:rPr>
          <w:rFonts w:cstheme="minorHAnsi"/>
          <w:szCs w:val="20"/>
        </w:rPr>
        <w:t xml:space="preserve">‘Smart and creative diversification area’ in the most of the Norwegian side. It is defined by a low degree of local diversified applied knowledge, internal innovation capacity, high degree of local competences, creativity and entrepreneurship, external knowledge embedded in technical and organizational capabilities;  </w:t>
      </w:r>
    </w:p>
    <w:p w:rsidR="00A44E29" w:rsidRDefault="00A44E29" w:rsidP="00CF4A17">
      <w:pPr>
        <w:pStyle w:val="Listeavsnitt"/>
        <w:numPr>
          <w:ilvl w:val="0"/>
          <w:numId w:val="25"/>
        </w:numPr>
        <w:rPr>
          <w:szCs w:val="20"/>
        </w:rPr>
      </w:pPr>
      <w:r>
        <w:rPr>
          <w:rFonts w:cstheme="minorHAnsi"/>
          <w:szCs w:val="20"/>
        </w:rPr>
        <w:t>‘Creative imitation area’, in the Norwegian part near Oslo. It is associated to a low knowledge and innovation intensity, entrepreneurship, creativity, a high attractiveness and a high innovation potential;</w:t>
      </w:r>
    </w:p>
    <w:p w:rsidR="006D4106" w:rsidRPr="005F1ECF" w:rsidRDefault="00A44E29" w:rsidP="00CF4A17">
      <w:pPr>
        <w:pStyle w:val="Listeavsnitt"/>
        <w:numPr>
          <w:ilvl w:val="0"/>
          <w:numId w:val="25"/>
        </w:numPr>
        <w:autoSpaceDE w:val="0"/>
        <w:autoSpaceDN w:val="0"/>
        <w:adjustRightInd w:val="0"/>
        <w:spacing w:after="0" w:line="240" w:lineRule="auto"/>
        <w:rPr>
          <w:szCs w:val="20"/>
        </w:rPr>
      </w:pPr>
      <w:r w:rsidRPr="00441A2C">
        <w:rPr>
          <w:rFonts w:cstheme="minorHAnsi"/>
          <w:szCs w:val="20"/>
        </w:rPr>
        <w:t xml:space="preserve">‘Smart technological application area’, in the Swedish side. It is defined by a high product innovation level, with a limited degree of local applied science and R&amp;D endowment, and a high creativity which allows translating external basic science and applied science knowledge into innovation. </w:t>
      </w:r>
      <w:r w:rsidRPr="00441A2C">
        <w:rPr>
          <w:szCs w:val="20"/>
        </w:rPr>
        <w:t xml:space="preserve"> </w:t>
      </w:r>
      <w:r w:rsidR="006D4106" w:rsidRPr="005F1ECF">
        <w:rPr>
          <w:szCs w:val="20"/>
        </w:rPr>
        <w:br w:type="page"/>
      </w:r>
    </w:p>
    <w:p w:rsidR="008A3B96" w:rsidRPr="004E39BD" w:rsidRDefault="00337872" w:rsidP="008A3B96">
      <w:pPr>
        <w:rPr>
          <w:b/>
        </w:rPr>
      </w:pPr>
      <w:r w:rsidRPr="004E39BD">
        <w:rPr>
          <w:b/>
        </w:rPr>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11507D">
        <w:rPr>
          <w:b/>
        </w:rPr>
        <w:t>Sweden</w:t>
      </w:r>
      <w:r w:rsidR="00D9510F">
        <w:rPr>
          <w:b/>
        </w:rPr>
        <w:t xml:space="preserve"> - Norway</w:t>
      </w:r>
    </w:p>
    <w:p w:rsidR="008A3B96" w:rsidRDefault="008A3B96" w:rsidP="008A3B96"/>
    <w:p w:rsidR="008A3B96" w:rsidRDefault="002C408F" w:rsidP="008A3B96">
      <w:pPr>
        <w:spacing w:after="0" w:line="240" w:lineRule="auto"/>
      </w:pPr>
      <w:r w:rsidRPr="002C408F">
        <w:rPr>
          <w:noProof/>
          <w:lang w:val="de-DE" w:eastAsia="de-DE"/>
        </w:rPr>
        <w:pict>
          <v:oval id="_x0000_s1029" style="position:absolute;left:0;text-align:left;margin-left:167.7pt;margin-top:70.95pt;width:53.65pt;height:100.75pt;z-index:251680256" filled="f" strokecolor="#0070c0" strokeweight="2pt"/>
        </w:pict>
      </w:r>
      <w:r w:rsidR="00B60D5E">
        <w:rPr>
          <w:noProof/>
          <w:lang w:val="nb-NO" w:eastAsia="nb-NO"/>
        </w:rPr>
        <w:drawing>
          <wp:inline distT="0" distB="0" distL="0" distR="0">
            <wp:extent cx="5278755" cy="6284584"/>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Overskrift3"/>
      </w:pPr>
      <w:r>
        <w:t>Sustainable</w:t>
      </w:r>
      <w:r w:rsidRPr="00337872">
        <w:t xml:space="preserve"> growth </w:t>
      </w:r>
    </w:p>
    <w:p w:rsidR="004F26B8" w:rsidRDefault="00ED5E74" w:rsidP="00C00C96">
      <w:r>
        <w:rPr>
          <w:noProof/>
          <w:lang w:val="nb-NO" w:eastAsia="nb-NO"/>
        </w:rPr>
        <w:drawing>
          <wp:anchor distT="0" distB="0" distL="114300" distR="114300" simplePos="0" relativeHeight="251689472" behindDoc="1" locked="0" layoutInCell="1" allowOverlap="1">
            <wp:simplePos x="0" y="0"/>
            <wp:positionH relativeFrom="column">
              <wp:posOffset>-3810</wp:posOffset>
            </wp:positionH>
            <wp:positionV relativeFrom="paragraph">
              <wp:posOffset>1337310</wp:posOffset>
            </wp:positionV>
            <wp:extent cx="5273675" cy="2934335"/>
            <wp:effectExtent l="19050" t="0" r="3175" b="0"/>
            <wp:wrapTight wrapText="bothSides">
              <wp:wrapPolygon edited="0">
                <wp:start x="-78" y="0"/>
                <wp:lineTo x="-78" y="20614"/>
                <wp:lineTo x="21613" y="20614"/>
                <wp:lineTo x="21613" y="0"/>
                <wp:lineTo x="-78" y="0"/>
              </wp:wrapPolygon>
            </wp:wrapTight>
            <wp:docPr id="9" name="Bild 2" descr="C:\Dokumente und Einstellungen\pucher\Desktop\TL_CBC1\CBC_TL_Sweden_Norway_SE&amp;NO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Sweden_Norway_SE&amp;NO1b.png"/>
                    <pic:cNvPicPr>
                      <a:picLocks noChangeAspect="1" noChangeArrowheads="1"/>
                    </pic:cNvPicPr>
                  </pic:nvPicPr>
                  <pic:blipFill>
                    <a:blip r:embed="rId18" cstate="print"/>
                    <a:srcRect/>
                    <a:stretch>
                      <a:fillRect/>
                    </a:stretch>
                  </pic:blipFill>
                  <pic:spPr bwMode="auto">
                    <a:xfrm>
                      <a:off x="0" y="0"/>
                      <a:ext cx="5273675" cy="293433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45231F">
        <w:t>In the framework of the Europe</w:t>
      </w:r>
      <w:r w:rsidR="00276DA6">
        <w:t xml:space="preserve"> 2020 Strategy it means </w:t>
      </w:r>
      <w:r w:rsidR="006D6890">
        <w:t>focus on competitiveness, resource efficiency, climate change and biodiversity</w:t>
      </w:r>
      <w:r w:rsidR="00276DA6">
        <w:t>.</w:t>
      </w:r>
    </w:p>
    <w:p w:rsidR="00ED5E74" w:rsidRDefault="00ED5E74" w:rsidP="00C00C96"/>
    <w:p w:rsidR="008D471D" w:rsidRDefault="00343921" w:rsidP="00C00C96">
      <w:r>
        <w:t xml:space="preserve">The use of wind energy potential could be one of the cornerstones in building a competitive low-carbon economy in the EU. </w:t>
      </w:r>
      <w:r w:rsidR="00B97A31">
        <w:t>The CBC prog</w:t>
      </w:r>
      <w:r w:rsidR="00866E78">
        <w:t xml:space="preserve">ramme of </w:t>
      </w:r>
      <w:r w:rsidR="0045231F">
        <w:t>Sweden – Norway</w:t>
      </w:r>
      <w:r w:rsidR="00866E78">
        <w:t xml:space="preserve"> shows a median value that is significantly higher in terms of wind energy potential, </w:t>
      </w:r>
      <w:r w:rsidR="008D471D">
        <w:t>and significantly lower in terms</w:t>
      </w:r>
      <w:r w:rsidR="00866E78">
        <w:t xml:space="preserve"> of ozone concentration and the potential vulnerability to climate change than t</w:t>
      </w:r>
      <w:r w:rsidR="00221BF2">
        <w:t>he EU-27+4 and the all CBC area</w:t>
      </w:r>
      <w:r w:rsidR="00866E78">
        <w:t xml:space="preserve"> values.</w:t>
      </w:r>
      <w:r w:rsidR="00221F77">
        <w:t xml:space="preserve"> With regard to all three indicators Sweden </w:t>
      </w:r>
      <w:r w:rsidR="004022A4">
        <w:t>shows slightly stronger national values than the CBC median value, whereas the CBC area performs slightly better than Norway</w:t>
      </w:r>
      <w:r w:rsidR="00683526">
        <w:t xml:space="preserve"> in general</w:t>
      </w:r>
      <w:r w:rsidR="004022A4">
        <w:t>. All three indicators are characterised by high disparities within the CBC area.</w:t>
      </w:r>
    </w:p>
    <w:p w:rsidR="004022A4" w:rsidRDefault="008D471D" w:rsidP="00C00C96">
      <w:r>
        <w:t>Directive 11 has no territorial impact on fossil fuel consumption on</w:t>
      </w:r>
      <w:r w:rsidR="00B1422B">
        <w:t xml:space="preserve"> the Swedish side of the border (MAP 2).</w:t>
      </w:r>
      <w:r>
        <w:t xml:space="preserve"> </w:t>
      </w:r>
      <w:r w:rsidR="002F4DF3">
        <w:t xml:space="preserve">Most </w:t>
      </w:r>
      <w:r w:rsidR="00BF3F26">
        <w:t xml:space="preserve">NUTS3 regions of the </w:t>
      </w:r>
      <w:r w:rsidR="0045231F">
        <w:t xml:space="preserve">Sweden – Norway </w:t>
      </w:r>
      <w:r w:rsidR="00BF3F26">
        <w:t xml:space="preserve">CBC programme have a better than </w:t>
      </w:r>
      <w:r w:rsidR="00683526">
        <w:t xml:space="preserve">the EU </w:t>
      </w:r>
      <w:r w:rsidR="00BF3F26">
        <w:t xml:space="preserve">average </w:t>
      </w:r>
      <w:r w:rsidR="00683526">
        <w:t xml:space="preserve">for </w:t>
      </w:r>
      <w:r w:rsidR="00BF3F26">
        <w:t>combined adaptive capacity to climate change</w:t>
      </w:r>
      <w:r w:rsidR="002F4DF3">
        <w:t xml:space="preserve"> (BOX-PLOT 1)</w:t>
      </w:r>
      <w:r w:rsidR="00BF3F26">
        <w:t>, i.e. fall within the top 25% of all EU-27+4 and all CBC regions. In the national contexts,</w:t>
      </w:r>
      <w:r w:rsidR="002F4DF3">
        <w:t xml:space="preserve"> the level of adaptive capacity of NUTS3</w:t>
      </w:r>
      <w:r w:rsidR="00221BF2">
        <w:t xml:space="preserve"> border-regions</w:t>
      </w:r>
      <w:r w:rsidR="002F4DF3">
        <w:t xml:space="preserve"> to climate change is </w:t>
      </w:r>
      <w:r w:rsidR="000F0B3C">
        <w:t xml:space="preserve">more or less </w:t>
      </w:r>
      <w:r w:rsidR="002F4DF3">
        <w:t>evenly distributed</w:t>
      </w:r>
      <w:r w:rsidR="00221BF2">
        <w:t xml:space="preserve"> around the national median</w:t>
      </w:r>
      <w:r w:rsidR="000F0B3C">
        <w:t>s</w:t>
      </w:r>
      <w:r w:rsidR="002F4DF3">
        <w:t xml:space="preserve">. Some regions </w:t>
      </w:r>
      <w:r w:rsidR="00BF3F26">
        <w:t xml:space="preserve">perform </w:t>
      </w:r>
      <w:r w:rsidR="000F0B3C">
        <w:t xml:space="preserve">considerably </w:t>
      </w:r>
      <w:r w:rsidR="00BF3F26">
        <w:t>better than the</w:t>
      </w:r>
      <w:r w:rsidR="002F4DF3">
        <w:t xml:space="preserve"> national median value</w:t>
      </w:r>
      <w:r w:rsidR="00683526">
        <w:t>s</w:t>
      </w:r>
      <w:r w:rsidR="002F4DF3">
        <w:t xml:space="preserve"> and some have a</w:t>
      </w:r>
      <w:r w:rsidR="000F0B3C">
        <w:t xml:space="preserve"> much</w:t>
      </w:r>
      <w:r w:rsidR="002F4DF3">
        <w:t xml:space="preserve"> weaker adaptive capacity to climate change</w:t>
      </w:r>
      <w:r w:rsidR="00BF3F26">
        <w:t xml:space="preserve">, </w:t>
      </w:r>
      <w:r w:rsidR="000F0B3C">
        <w:t xml:space="preserve">the Swedish region of Västra </w:t>
      </w:r>
      <w:r w:rsidR="000F0B3C" w:rsidRPr="000F0B3C">
        <w:t xml:space="preserve">Götalands </w:t>
      </w:r>
      <w:r w:rsidR="00BF3F26" w:rsidRPr="000F0B3C">
        <w:t>being the</w:t>
      </w:r>
      <w:r w:rsidR="00BF3F26">
        <w:t xml:space="preserve"> strongest and</w:t>
      </w:r>
      <w:r w:rsidR="002F4DF3">
        <w:t xml:space="preserve"> </w:t>
      </w:r>
      <w:r w:rsidR="000F0B3C">
        <w:t xml:space="preserve">Jämtlands </w:t>
      </w:r>
      <w:r w:rsidR="002F4DF3">
        <w:t>the ‘weakest’ performer in both national contexts.</w:t>
      </w:r>
    </w:p>
    <w:p w:rsidR="0011507D" w:rsidRDefault="0011507D" w:rsidP="00C00C96"/>
    <w:p w:rsidR="001C4CA6" w:rsidRDefault="001C4CA6" w:rsidP="00C00C96"/>
    <w:p w:rsidR="00041A22" w:rsidRDefault="00041A22">
      <w:pPr>
        <w:spacing w:after="0" w:line="240" w:lineRule="auto"/>
        <w:jc w:val="left"/>
      </w:pPr>
      <w:r>
        <w:br w:type="page"/>
      </w:r>
    </w:p>
    <w:p w:rsidR="00337872" w:rsidRPr="00C33A99" w:rsidRDefault="009F77A8" w:rsidP="00C33A99">
      <w:pPr>
        <w:rPr>
          <w:b/>
        </w:rPr>
      </w:pPr>
      <w:r w:rsidRPr="00C33A99">
        <w:rPr>
          <w:b/>
        </w:rPr>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D9510F">
        <w:rPr>
          <w:b/>
        </w:rPr>
        <w:t>Sweden - Norway</w:t>
      </w:r>
    </w:p>
    <w:p w:rsidR="00D26713" w:rsidRDefault="00D26713" w:rsidP="00D26713">
      <w:pPr>
        <w:spacing w:after="0" w:line="240" w:lineRule="auto"/>
        <w:rPr>
          <w:noProof/>
          <w:lang w:eastAsia="en-GB"/>
        </w:rPr>
      </w:pPr>
    </w:p>
    <w:p w:rsidR="00D26713" w:rsidRDefault="002C408F" w:rsidP="00D26713">
      <w:pPr>
        <w:spacing w:after="0" w:line="240" w:lineRule="auto"/>
        <w:rPr>
          <w:noProof/>
          <w:lang w:eastAsia="en-GB"/>
        </w:rPr>
      </w:pPr>
      <w:r w:rsidRPr="002C408F">
        <w:rPr>
          <w:noProof/>
          <w:lang w:val="de-DE" w:eastAsia="de-DE"/>
        </w:rPr>
        <w:pict>
          <v:oval id="_x0000_s1030" style="position:absolute;left:0;text-align:left;margin-left:194.05pt;margin-top:55.75pt;width:57.7pt;height:108.35pt;z-index:251681280" filled="f" strokecolor="#0070c0" strokeweight="2pt"/>
        </w:pict>
      </w:r>
      <w:r w:rsidR="00B60D5E">
        <w:rPr>
          <w:noProof/>
          <w:lang w:val="nb-NO" w:eastAsia="nb-NO"/>
        </w:rPr>
        <w:drawing>
          <wp:inline distT="0" distB="0" distL="0" distR="0">
            <wp:extent cx="5278755" cy="5815626"/>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484C5D">
        <w:rPr>
          <w:b/>
        </w:rPr>
        <w:t>BOX</w:t>
      </w:r>
      <w:r w:rsidR="0054220D" w:rsidRPr="00484C5D">
        <w:rPr>
          <w:b/>
        </w:rPr>
        <w:t>-</w:t>
      </w:r>
      <w:r w:rsidRPr="00484C5D">
        <w:rPr>
          <w:b/>
        </w:rPr>
        <w:t>PLOT</w:t>
      </w:r>
      <w:r w:rsidR="00016B50" w:rsidRPr="00484C5D">
        <w:rPr>
          <w:b/>
        </w:rPr>
        <w:t xml:space="preserve"> 1 – </w:t>
      </w:r>
      <w:r w:rsidRPr="00484C5D">
        <w:rPr>
          <w:b/>
        </w:rPr>
        <w:t>Combined adaptive capacity to climate change (ESPON CLIMATE project)</w:t>
      </w:r>
      <w:r w:rsidR="002371D8" w:rsidRPr="00484C5D">
        <w:rPr>
          <w:b/>
        </w:rPr>
        <w:t xml:space="preserve"> for the CBC </w:t>
      </w:r>
      <w:r w:rsidR="00D9510F">
        <w:rPr>
          <w:b/>
        </w:rPr>
        <w:t xml:space="preserve">Sweden </w:t>
      </w:r>
      <w:r w:rsidR="00F951A0">
        <w:rPr>
          <w:b/>
        </w:rPr>
        <w:t>–</w:t>
      </w:r>
      <w:r w:rsidR="00D9510F">
        <w:rPr>
          <w:b/>
        </w:rPr>
        <w:t xml:space="preserve"> Norway</w:t>
      </w:r>
    </w:p>
    <w:p w:rsidR="00F951A0" w:rsidRPr="00021CAB" w:rsidRDefault="00F951A0" w:rsidP="00F951A0">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484C5D" w:rsidP="006E618B">
      <w:pPr>
        <w:spacing w:after="0" w:line="240" w:lineRule="auto"/>
        <w:rPr>
          <w:noProof/>
          <w:lang w:eastAsia="en-GB"/>
        </w:rPr>
      </w:pPr>
      <w:r>
        <w:rPr>
          <w:noProof/>
          <w:lang w:val="nb-NO" w:eastAsia="nb-NO"/>
        </w:rPr>
        <w:drawing>
          <wp:inline distT="0" distB="0" distL="0" distR="0">
            <wp:extent cx="5278755" cy="4225542"/>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AD6766" w:rsidRPr="006F0BC4" w:rsidRDefault="00AD6766" w:rsidP="00AD6766">
      <w:pPr>
        <w:pStyle w:val="Overskrift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Overskrift3"/>
      </w:pPr>
      <w:r w:rsidRPr="00143F94">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11507D" w:rsidRDefault="00ED5E74" w:rsidP="00B135A2">
      <w:r>
        <w:rPr>
          <w:noProof/>
          <w:lang w:val="nb-NO" w:eastAsia="nb-NO"/>
        </w:rPr>
        <w:drawing>
          <wp:anchor distT="0" distB="0" distL="114300" distR="114300" simplePos="0" relativeHeight="251690496" behindDoc="1" locked="0" layoutInCell="1" allowOverlap="1">
            <wp:simplePos x="0" y="0"/>
            <wp:positionH relativeFrom="column">
              <wp:posOffset>15240</wp:posOffset>
            </wp:positionH>
            <wp:positionV relativeFrom="paragraph">
              <wp:posOffset>24130</wp:posOffset>
            </wp:positionV>
            <wp:extent cx="5273675" cy="2658110"/>
            <wp:effectExtent l="19050" t="0" r="3175" b="0"/>
            <wp:wrapTight wrapText="bothSides">
              <wp:wrapPolygon edited="0">
                <wp:start x="-78" y="0"/>
                <wp:lineTo x="-78" y="20589"/>
                <wp:lineTo x="21613" y="20589"/>
                <wp:lineTo x="21613" y="0"/>
                <wp:lineTo x="-78" y="0"/>
              </wp:wrapPolygon>
            </wp:wrapTight>
            <wp:docPr id="10" name="Bild 3" descr="C:\Dokumente und Einstellungen\pucher\Desktop\TL_CBC1\CBC_TL_Sweden_Norway_SE&amp;NO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Sweden_Norway_SE&amp;NO1c.png"/>
                    <pic:cNvPicPr>
                      <a:picLocks noChangeAspect="1" noChangeArrowheads="1"/>
                    </pic:cNvPicPr>
                  </pic:nvPicPr>
                  <pic:blipFill>
                    <a:blip r:embed="rId21" cstate="print"/>
                    <a:srcRect/>
                    <a:stretch>
                      <a:fillRect/>
                    </a:stretch>
                  </pic:blipFill>
                  <pic:spPr bwMode="auto">
                    <a:xfrm>
                      <a:off x="0" y="0"/>
                      <a:ext cx="5273675" cy="2658110"/>
                    </a:xfrm>
                    <a:prstGeom prst="rect">
                      <a:avLst/>
                    </a:prstGeom>
                    <a:noFill/>
                    <a:ln w="9525">
                      <a:noFill/>
                      <a:miter lim="800000"/>
                      <a:headEnd/>
                      <a:tailEnd/>
                    </a:ln>
                  </pic:spPr>
                </pic:pic>
              </a:graphicData>
            </a:graphic>
          </wp:anchor>
        </w:drawing>
      </w:r>
    </w:p>
    <w:p w:rsidR="00BB58D3" w:rsidRDefault="002F4DF3" w:rsidP="00BB58D3">
      <w:pPr>
        <w:spacing w:after="0" w:line="240" w:lineRule="auto"/>
        <w:rPr>
          <w:noProof/>
          <w:lang w:eastAsia="en-GB"/>
        </w:rPr>
      </w:pPr>
      <w:r>
        <w:rPr>
          <w:noProof/>
          <w:lang w:eastAsia="en-GB"/>
        </w:rPr>
        <w:t xml:space="preserve">The </w:t>
      </w:r>
      <w:r w:rsidR="0045231F">
        <w:t xml:space="preserve">Sweden – Norway </w:t>
      </w:r>
      <w:r>
        <w:rPr>
          <w:noProof/>
          <w:lang w:eastAsia="en-GB"/>
        </w:rPr>
        <w:t>CBC programme is characterised by strong employment indicators when compared to the EU-27+4 or all CBC areas. As far as long-term unemployment rate is concerned</w:t>
      </w:r>
      <w:r w:rsidR="00BB58D3">
        <w:rPr>
          <w:noProof/>
          <w:lang w:eastAsia="en-GB"/>
        </w:rPr>
        <w:t>, the median value of the CBC area is substantially lower than the EU-27+4 and all CBC areas, and similar to that of the national value</w:t>
      </w:r>
      <w:r w:rsidR="00112095">
        <w:rPr>
          <w:noProof/>
          <w:lang w:eastAsia="en-GB"/>
        </w:rPr>
        <w:t>s</w:t>
      </w:r>
      <w:r w:rsidR="00BB58D3">
        <w:rPr>
          <w:noProof/>
          <w:lang w:eastAsia="en-GB"/>
        </w:rPr>
        <w:t xml:space="preserve"> for Norway and Sweden. A smiliar picture emerges with regard to share of persons (aged 20-24 &amp; 25-64) with upper secondary or tertiary education attainment. As far as people at risk of poverty are concerned the CBC area’s performance is closer to the EU-27+4 and the all CBC area level</w:t>
      </w:r>
      <w:r w:rsidR="00112095">
        <w:rPr>
          <w:noProof/>
          <w:lang w:eastAsia="en-GB"/>
        </w:rPr>
        <w:t>, and also similar to the relevant national values</w:t>
      </w:r>
      <w:r w:rsidR="00BB58D3">
        <w:rPr>
          <w:noProof/>
          <w:lang w:eastAsia="en-GB"/>
        </w:rPr>
        <w:t>.</w:t>
      </w:r>
    </w:p>
    <w:p w:rsidR="00BB58D3" w:rsidRDefault="00BB58D3" w:rsidP="00BB58D3">
      <w:pPr>
        <w:spacing w:after="0" w:line="240" w:lineRule="auto"/>
        <w:rPr>
          <w:noProof/>
          <w:lang w:eastAsia="en-GB"/>
        </w:rPr>
      </w:pPr>
    </w:p>
    <w:p w:rsidR="001446E2" w:rsidRDefault="00BB58D3" w:rsidP="00BB58D3">
      <w:pPr>
        <w:spacing w:after="0" w:line="240" w:lineRule="auto"/>
        <w:rPr>
          <w:noProof/>
          <w:lang w:eastAsia="en-GB"/>
        </w:rPr>
      </w:pPr>
      <w:r>
        <w:rPr>
          <w:noProof/>
          <w:lang w:eastAsia="en-GB"/>
        </w:rPr>
        <w:t xml:space="preserve">All four scenarios of the ESPON DEMIFER project with regard to the change in labour force until 2050 describe similar patterns </w:t>
      </w:r>
      <w:r w:rsidR="00112095">
        <w:rPr>
          <w:noProof/>
          <w:lang w:eastAsia="en-GB"/>
        </w:rPr>
        <w:t xml:space="preserve">with regard to the relative strength of </w:t>
      </w:r>
      <w:r>
        <w:rPr>
          <w:noProof/>
          <w:lang w:eastAsia="en-GB"/>
        </w:rPr>
        <w:t>t</w:t>
      </w:r>
      <w:r w:rsidR="00112095">
        <w:rPr>
          <w:noProof/>
          <w:lang w:eastAsia="en-GB"/>
        </w:rPr>
        <w:t>he various NUTS3 border-regions</w:t>
      </w:r>
      <w:r>
        <w:rPr>
          <w:noProof/>
          <w:lang w:eastAsia="en-GB"/>
        </w:rPr>
        <w:t xml:space="preserve">. However, the extent of change and even the direction of change vary according to the different scenarios. </w:t>
      </w:r>
      <w:r w:rsidR="000007ED">
        <w:rPr>
          <w:noProof/>
          <w:lang w:eastAsia="en-GB"/>
        </w:rPr>
        <w:t>The four</w:t>
      </w:r>
      <w:r w:rsidR="00112095">
        <w:rPr>
          <w:noProof/>
          <w:lang w:eastAsia="en-GB"/>
        </w:rPr>
        <w:t xml:space="preserve"> scenarios predict labour force increase in the Northern </w:t>
      </w:r>
      <w:r w:rsidR="000007ED">
        <w:rPr>
          <w:noProof/>
          <w:lang w:eastAsia="en-GB"/>
        </w:rPr>
        <w:t>border regions (only the ‘Limited Social Europe’ foresees minor reductions here) and in the Southern region of Akershus in Norway; whereas, most scenarios foresee labour force reduction</w:t>
      </w:r>
      <w:r w:rsidR="00784218">
        <w:rPr>
          <w:noProof/>
          <w:lang w:eastAsia="en-GB"/>
        </w:rPr>
        <w:t>s in the region of Hedmark. P</w:t>
      </w:r>
      <w:r w:rsidR="000007ED">
        <w:rPr>
          <w:noProof/>
          <w:lang w:eastAsia="en-GB"/>
        </w:rPr>
        <w:t xml:space="preserve">redictions for </w:t>
      </w:r>
      <w:r w:rsidR="00784218">
        <w:rPr>
          <w:noProof/>
          <w:lang w:eastAsia="en-GB"/>
        </w:rPr>
        <w:t xml:space="preserve">the Norvegian region of </w:t>
      </w:r>
      <w:r w:rsidR="00784218">
        <w:t>Østfold vary</w:t>
      </w:r>
      <w:r w:rsidR="000007ED">
        <w:t xml:space="preserve">. </w:t>
      </w:r>
      <w:r w:rsidR="00784218">
        <w:t xml:space="preserve">Three of the scenarios expect </w:t>
      </w:r>
      <w:r w:rsidR="000007ED">
        <w:t xml:space="preserve">the labour force to decrease in </w:t>
      </w:r>
      <w:r w:rsidR="00784218">
        <w:t>the majority of the Swedish</w:t>
      </w:r>
      <w:r w:rsidR="00F97BA9">
        <w:t xml:space="preserve"> NUTS3 border-</w:t>
      </w:r>
      <w:r w:rsidR="000007ED">
        <w:t>regions</w:t>
      </w:r>
      <w:r w:rsidR="00F97BA9">
        <w:t xml:space="preserve">, namely in the regions of Jämtlands, Värmlands, Dalarnas (only the </w:t>
      </w:r>
      <w:r w:rsidR="00784218">
        <w:t>‘Expanding Market Europe’ scenario foresees minor increase here). In the Swedish border-region of Västra Götalands most scenarios (except the ‘Limited Social Europe’ scenario) predict an increase.</w:t>
      </w:r>
      <w:r w:rsidR="000007ED">
        <w:t xml:space="preserve"> </w:t>
      </w:r>
      <w:r w:rsidR="00112095">
        <w:rPr>
          <w:noProof/>
          <w:lang w:eastAsia="en-GB"/>
        </w:rPr>
        <w:t xml:space="preserve"> </w:t>
      </w:r>
      <w:r>
        <w:rPr>
          <w:noProof/>
          <w:lang w:eastAsia="en-GB"/>
        </w:rPr>
        <w:t>Employment rate</w:t>
      </w:r>
      <w:r w:rsidR="001446E2">
        <w:rPr>
          <w:noProof/>
          <w:lang w:eastAsia="en-GB"/>
        </w:rPr>
        <w:t>s</w:t>
      </w:r>
      <w:r>
        <w:rPr>
          <w:noProof/>
          <w:lang w:eastAsia="en-GB"/>
        </w:rPr>
        <w:t xml:space="preserve"> (2010) </w:t>
      </w:r>
      <w:r w:rsidR="001446E2">
        <w:rPr>
          <w:noProof/>
          <w:lang w:eastAsia="en-GB"/>
        </w:rPr>
        <w:t>in</w:t>
      </w:r>
      <w:r>
        <w:rPr>
          <w:noProof/>
          <w:lang w:eastAsia="en-GB"/>
        </w:rPr>
        <w:t xml:space="preserve"> </w:t>
      </w:r>
      <w:r w:rsidR="00112095">
        <w:rPr>
          <w:noProof/>
          <w:lang w:eastAsia="en-GB"/>
        </w:rPr>
        <w:t>those</w:t>
      </w:r>
      <w:r>
        <w:rPr>
          <w:noProof/>
          <w:lang w:eastAsia="en-GB"/>
        </w:rPr>
        <w:t xml:space="preserve"> CBC </w:t>
      </w:r>
      <w:r w:rsidR="001446E2">
        <w:rPr>
          <w:noProof/>
          <w:lang w:eastAsia="en-GB"/>
        </w:rPr>
        <w:t xml:space="preserve">NUTS3 </w:t>
      </w:r>
      <w:r>
        <w:rPr>
          <w:noProof/>
          <w:lang w:eastAsia="en-GB"/>
        </w:rPr>
        <w:t xml:space="preserve">regions </w:t>
      </w:r>
      <w:r w:rsidR="00112095">
        <w:rPr>
          <w:noProof/>
          <w:lang w:eastAsia="en-GB"/>
        </w:rPr>
        <w:t xml:space="preserve">where data was available </w:t>
      </w:r>
      <w:r>
        <w:rPr>
          <w:noProof/>
          <w:lang w:eastAsia="en-GB"/>
        </w:rPr>
        <w:t>(BOX-PLOT 2)</w:t>
      </w:r>
      <w:r w:rsidR="001446E2">
        <w:rPr>
          <w:noProof/>
          <w:lang w:eastAsia="en-GB"/>
        </w:rPr>
        <w:t xml:space="preserve"> are close to the median values of the EU-27+4, all CBC areas </w:t>
      </w:r>
      <w:r w:rsidR="000271C6">
        <w:rPr>
          <w:noProof/>
          <w:lang w:eastAsia="en-GB"/>
        </w:rPr>
        <w:t>as well as the national value of Sweden</w:t>
      </w:r>
      <w:r w:rsidR="001446E2">
        <w:rPr>
          <w:noProof/>
          <w:lang w:eastAsia="en-GB"/>
        </w:rPr>
        <w:t xml:space="preserve">. </w:t>
      </w:r>
    </w:p>
    <w:p w:rsidR="00104631" w:rsidRDefault="00104631" w:rsidP="00BB58D3">
      <w:pPr>
        <w:spacing w:after="0" w:line="240" w:lineRule="auto"/>
        <w:rPr>
          <w:noProof/>
          <w:lang w:eastAsia="en-GB"/>
        </w:rPr>
      </w:pPr>
      <w:r>
        <w:rPr>
          <w:noProof/>
          <w:lang w:eastAsia="en-GB"/>
        </w:rPr>
        <w:br w:type="page"/>
      </w:r>
    </w:p>
    <w:p w:rsidR="00B135A2" w:rsidRPr="00C33A99" w:rsidRDefault="00016B50" w:rsidP="00C33A99">
      <w:pPr>
        <w:rPr>
          <w:b/>
        </w:rPr>
      </w:pPr>
      <w:r>
        <w:rPr>
          <w:b/>
        </w:rPr>
        <w:t xml:space="preserve">MAP 3 – </w:t>
      </w:r>
      <w:r w:rsidR="00C04A1F" w:rsidRPr="00C33A99">
        <w:rPr>
          <w:b/>
        </w:rPr>
        <w:t>Change in Labour Force 2005-2050 (ESPON DEMIFER project)</w:t>
      </w:r>
      <w:r w:rsidR="002371D8">
        <w:rPr>
          <w:b/>
        </w:rPr>
        <w:t xml:space="preserve"> for the CBC </w:t>
      </w:r>
      <w:r w:rsidR="00D9510F">
        <w:rPr>
          <w:b/>
        </w:rPr>
        <w:t>Sweden - Norway</w:t>
      </w:r>
    </w:p>
    <w:p w:rsidR="0089569C" w:rsidRDefault="0089569C" w:rsidP="0089569C">
      <w:pPr>
        <w:spacing w:after="0" w:line="240" w:lineRule="auto"/>
        <w:rPr>
          <w:noProof/>
          <w:lang w:eastAsia="en-GB"/>
        </w:rPr>
      </w:pPr>
    </w:p>
    <w:p w:rsidR="0089569C" w:rsidRDefault="002C408F" w:rsidP="0089569C">
      <w:pPr>
        <w:spacing w:after="0" w:line="240" w:lineRule="auto"/>
        <w:rPr>
          <w:noProof/>
          <w:lang w:eastAsia="en-GB"/>
        </w:rPr>
      </w:pPr>
      <w:r w:rsidRPr="002C408F">
        <w:rPr>
          <w:noProof/>
          <w:lang w:val="de-DE" w:eastAsia="de-DE"/>
        </w:rPr>
        <w:pict>
          <v:oval id="_x0000_s1034" style="position:absolute;left:0;text-align:left;margin-left:299.4pt;margin-top:240pt;width:30.3pt;height:56.9pt;z-index:251685376" filled="f" strokecolor="#0070c0" strokeweight="2pt"/>
        </w:pict>
      </w:r>
      <w:r w:rsidRPr="002C408F">
        <w:rPr>
          <w:noProof/>
          <w:lang w:val="de-DE" w:eastAsia="de-DE"/>
        </w:rPr>
        <w:pict>
          <v:oval id="_x0000_s1033" style="position:absolute;left:0;text-align:left;margin-left:98.15pt;margin-top:240pt;width:30.3pt;height:56.9pt;z-index:251684352" filled="f" strokecolor="#0070c0" strokeweight="2pt"/>
        </w:pict>
      </w:r>
      <w:r w:rsidRPr="002C408F">
        <w:rPr>
          <w:noProof/>
          <w:lang w:val="de-DE" w:eastAsia="de-DE"/>
        </w:rPr>
        <w:pict>
          <v:oval id="_x0000_s1032" style="position:absolute;left:0;text-align:left;margin-left:296pt;margin-top:37.1pt;width:30.3pt;height:56.9pt;z-index:251683328" filled="f" strokecolor="#0070c0" strokeweight="2pt"/>
        </w:pict>
      </w:r>
      <w:r w:rsidRPr="002C408F">
        <w:rPr>
          <w:noProof/>
          <w:lang w:val="de-DE" w:eastAsia="de-DE"/>
        </w:rPr>
        <w:pict>
          <v:oval id="_x0000_s1031" style="position:absolute;left:0;text-align:left;margin-left:99.85pt;margin-top:37.1pt;width:30.3pt;height:56.9pt;z-index:251682304" filled="f" strokecolor="#0070c0" strokeweight="2pt"/>
        </w:pict>
      </w:r>
      <w:r w:rsidR="0086427A">
        <w:rPr>
          <w:noProof/>
          <w:lang w:val="nb-NO" w:eastAsia="nb-NO"/>
        </w:rPr>
        <w:drawing>
          <wp:inline distT="0" distB="0" distL="0" distR="0">
            <wp:extent cx="5278755" cy="6911340"/>
            <wp:effectExtent l="19050" t="0" r="0" b="0"/>
            <wp:docPr id="16" name="Grafik 15"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484C5D">
        <w:rPr>
          <w:b/>
        </w:rPr>
        <w:t>BOX</w:t>
      </w:r>
      <w:r w:rsidR="0054220D" w:rsidRPr="00484C5D">
        <w:rPr>
          <w:b/>
        </w:rPr>
        <w:t>-</w:t>
      </w:r>
      <w:r w:rsidRPr="00484C5D">
        <w:rPr>
          <w:b/>
        </w:rPr>
        <w:t>PLOT</w:t>
      </w:r>
      <w:r w:rsidR="00016B50" w:rsidRPr="00484C5D">
        <w:rPr>
          <w:b/>
        </w:rPr>
        <w:t xml:space="preserve"> 2</w:t>
      </w:r>
      <w:r w:rsidRPr="00484C5D">
        <w:rPr>
          <w:b/>
        </w:rPr>
        <w:t xml:space="preserve"> – Employment rate 2010</w:t>
      </w:r>
      <w:r w:rsidR="0011507D" w:rsidRPr="00484C5D">
        <w:rPr>
          <w:b/>
        </w:rPr>
        <w:t xml:space="preserve"> within the CBC </w:t>
      </w:r>
      <w:r w:rsidR="00D9510F">
        <w:rPr>
          <w:b/>
        </w:rPr>
        <w:t>Sweden - Norway</w:t>
      </w:r>
    </w:p>
    <w:p w:rsidR="00FD4E3A" w:rsidRDefault="00484C5D" w:rsidP="00FD4E3A">
      <w:pPr>
        <w:spacing w:after="0" w:line="240" w:lineRule="auto"/>
        <w:jc w:val="left"/>
        <w:rPr>
          <w:noProof/>
          <w:lang w:eastAsia="en-GB"/>
        </w:rPr>
      </w:pPr>
      <w:r>
        <w:rPr>
          <w:noProof/>
          <w:lang w:val="nb-NO" w:eastAsia="nb-NO"/>
        </w:rPr>
        <w:drawing>
          <wp:inline distT="0" distB="0" distL="0" distR="0">
            <wp:extent cx="5278755" cy="4225542"/>
            <wp:effectExtent l="19050" t="0" r="0" b="0"/>
            <wp:docPr id="1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4225542"/>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 xml:space="preserve">(see “How to read the box-plots?” on page </w:t>
      </w:r>
      <w:r w:rsidR="0045231F">
        <w:rPr>
          <w:i/>
          <w:noProof/>
          <w:lang w:eastAsia="en-GB"/>
        </w:rPr>
        <w:t>8</w:t>
      </w:r>
      <w:r w:rsidRPr="00383954">
        <w:rPr>
          <w:i/>
          <w:noProof/>
          <w:lang w:eastAsia="en-GB"/>
        </w:rPr>
        <w:t>)</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202AA4" w:rsidRDefault="005761A6" w:rsidP="005761A6">
      <w:pPr>
        <w:pStyle w:val="Overskrift1"/>
      </w:pPr>
      <w:r w:rsidRPr="00202AA4">
        <w:t xml:space="preserve">Territorial factors of interest for the programme area </w:t>
      </w:r>
    </w:p>
    <w:p w:rsidR="00202AA4" w:rsidRDefault="00202AA4" w:rsidP="00202AA4">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r>
        <w:rPr>
          <w:rFonts w:cs="Calibri"/>
          <w:szCs w:val="20"/>
          <w:lang w:eastAsia="fr-FR"/>
        </w:rPr>
        <w:t>For the programme area ESPON TERCO is of particular interest. It comprises</w:t>
      </w:r>
      <w:r>
        <w:t xml:space="preserve"> a case study focusing on a border region concerning the cooperation between Sweden, Norway and Scotland. The full case study including a lot of detailed analysis of the area and cooperation activities in the area is available in the annex to the (Draft) Final Report of the TERCO project. The below box provides only a short extract from the case study summary. </w:t>
      </w:r>
    </w:p>
    <w:p w:rsidR="00202AA4" w:rsidRDefault="00202AA4" w:rsidP="00202AA4">
      <w:pPr>
        <w:shd w:val="clear" w:color="auto" w:fill="F2F2F2" w:themeFill="background1" w:themeFillShade="F2"/>
        <w:rPr>
          <w:rFonts w:cs="Calibri"/>
          <w:sz w:val="18"/>
          <w:szCs w:val="20"/>
          <w:lang w:eastAsia="fr-FR"/>
        </w:rPr>
      </w:pPr>
      <w:r w:rsidRPr="00637C5D">
        <w:rPr>
          <w:rFonts w:cs="Calibri"/>
          <w:sz w:val="18"/>
          <w:szCs w:val="20"/>
          <w:lang w:eastAsia="fr-FR"/>
        </w:rPr>
        <w:t xml:space="preserve">ESPON TERCO PROJECT – ANNEX TO </w:t>
      </w:r>
      <w:r>
        <w:rPr>
          <w:rFonts w:cs="Calibri"/>
          <w:sz w:val="18"/>
          <w:szCs w:val="20"/>
          <w:lang w:eastAsia="fr-FR"/>
        </w:rPr>
        <w:t>THE DRAFT FINAL REPORT, PAGE 455-459:</w:t>
      </w:r>
      <w:r>
        <w:rPr>
          <w:rFonts w:cs="Calibri"/>
          <w:sz w:val="18"/>
          <w:szCs w:val="20"/>
          <w:lang w:eastAsia="fr-FR"/>
        </w:rPr>
        <w:br/>
        <w:t>Extracts from the text describing the programme area</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Norway and Sweden have a long tradition of cooperation between many regions in the two countries. Both also have strong links in terms of high level cooperation on a wide range of issues.</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 xml:space="preserve">The draft regulation for European territorial cooperation highlights the important role territorial cohesion plays in peripheral regions such as mountainous areas as well as coastal regions and sea basins (CEC 2011: 2). The programme area is large. While it includes urban centres in the South of Norway and Sweden, it is partly characterised by its vastness and the remoteness of large parts of the area. The geography of the region includes some of the most remote and inaccessible areas in Europe. The countries have extensive mountainous terrains, and large parts of the programme area are covered by forests and lakes, in particular in Sweden. </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The natural geography, lack of transport links and dispersed settlements in large parts of the case study area restrict access.</w:t>
      </w:r>
    </w:p>
    <w:p w:rsidR="00202AA4" w:rsidRPr="00776FF4" w:rsidRDefault="00202AA4" w:rsidP="00202AA4">
      <w:pPr>
        <w:shd w:val="clear" w:color="auto" w:fill="F2F2F2" w:themeFill="background1" w:themeFillShade="F2"/>
        <w:rPr>
          <w:rFonts w:cs="Calibri"/>
          <w:sz w:val="18"/>
          <w:szCs w:val="20"/>
          <w:lang w:eastAsia="fr-FR"/>
        </w:rPr>
      </w:pPr>
      <w:r w:rsidRPr="00776FF4">
        <w:rPr>
          <w:rFonts w:cs="Calibri"/>
          <w:sz w:val="18"/>
          <w:szCs w:val="20"/>
          <w:lang w:eastAsia="fr-FR"/>
        </w:rPr>
        <w:t>The impact of this level of peripherality is complex. On the one hand it restricts internal and external movement of passengers, often making people more reliant on air travel and leading to higher transport costs for both goods and people. It also reduces labour market opportunities in certain sectors and restricts access to services. On the other hand, it also creates a competitive advantage for locally produced goods and services. Territorial cohesion can play an important role in such peripheral regions in terms of creating cross border synergies and developing viable services through economies of scale.</w:t>
      </w:r>
    </w:p>
    <w:p w:rsidR="00202AA4" w:rsidRDefault="00202AA4" w:rsidP="00202AA4">
      <w:r>
        <w:t>In a European perspective the programme area is rather remote with low population density. However, in a Nordic perspective it has to be noted that the programme includes some urban centres such as e.g. Trollhätten, Strömstad and Trondheim, as well as Oslo with a 20% regulation. Despite some urban spots most of the programme area is – in a European perspective – comprised by remote rural areas.</w:t>
      </w:r>
      <w:r w:rsidRPr="00FE0047">
        <w:t xml:space="preserve"> </w:t>
      </w:r>
      <w:r>
        <w:t xml:space="preserve">The programme area has a number of geographic specificities such as coastal and mountainous regions and sparsely populated areas. With regard to these types of regions </w:t>
      </w:r>
      <w:r w:rsidRPr="0032010C">
        <w:t>ESPON GEOSPECS has developed nexus model</w:t>
      </w:r>
      <w:r>
        <w:t>s</w:t>
      </w:r>
      <w:r w:rsidRPr="0032010C">
        <w:t xml:space="preserve"> for mountainous</w:t>
      </w:r>
      <w:r>
        <w:t xml:space="preserve"> and for coastal</w:t>
      </w:r>
      <w:r w:rsidRPr="0032010C">
        <w:t xml:space="preserve"> regions linking defining features via intermediary process to development challenges and opportunities</w:t>
      </w:r>
    </w:p>
    <w:p w:rsidR="009B2BE6" w:rsidRDefault="00202AA4" w:rsidP="00202AA4">
      <w:pPr>
        <w:spacing w:after="0" w:line="240" w:lineRule="auto"/>
        <w:jc w:val="left"/>
      </w:pPr>
      <w:r>
        <w:t xml:space="preserve">In terms of infrastructure and accessibility the map on multimodal accessibility shows that the links to Oslo and Gothenburg are important. However, the overall accessibility – in particular in the rural part of the areas – are below European average(see map). This is also reflected in the possibilities for one-day business trips within the European urban network. Indeed possibilities for one-day trips to larger urban centres beyond the Oslo, Gothenburg, Stockholm and maybe Copenhagen are limited for people living in the programme areas. At the same the area has comparable good ICT access. </w:t>
      </w:r>
      <w:r w:rsidR="009B2BE6">
        <w:br w:type="page"/>
      </w:r>
    </w:p>
    <w:p w:rsidR="0019394E" w:rsidRPr="0019394E" w:rsidRDefault="0019394E" w:rsidP="0019394E">
      <w:pPr>
        <w:spacing w:after="0" w:line="240" w:lineRule="auto"/>
        <w:jc w:val="left"/>
        <w:rPr>
          <w:b/>
          <w:noProof/>
          <w:lang w:eastAsia="en-GB"/>
        </w:rPr>
      </w:pPr>
      <w:r w:rsidRPr="0019394E">
        <w:rPr>
          <w:b/>
          <w:noProof/>
          <w:lang w:eastAsia="en-GB"/>
        </w:rPr>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D9510F">
        <w:rPr>
          <w:b/>
        </w:rPr>
        <w:t>Sweden - Norway</w:t>
      </w:r>
    </w:p>
    <w:p w:rsidR="0089569C" w:rsidRDefault="0089569C" w:rsidP="0089569C">
      <w:pPr>
        <w:spacing w:after="0" w:line="240" w:lineRule="auto"/>
        <w:jc w:val="left"/>
        <w:rPr>
          <w:noProof/>
          <w:lang w:eastAsia="en-GB"/>
        </w:rPr>
      </w:pPr>
    </w:p>
    <w:p w:rsidR="0089569C" w:rsidRDefault="002C408F" w:rsidP="0089569C">
      <w:pPr>
        <w:spacing w:after="0" w:line="240" w:lineRule="auto"/>
        <w:jc w:val="left"/>
        <w:rPr>
          <w:noProof/>
          <w:lang w:eastAsia="en-GB"/>
        </w:rPr>
      </w:pPr>
      <w:r w:rsidRPr="002C408F">
        <w:rPr>
          <w:noProof/>
          <w:lang w:val="de-DE" w:eastAsia="de-DE"/>
        </w:rPr>
        <w:pict>
          <v:oval id="_x0000_s1035" style="position:absolute;margin-left:163.95pt;margin-top:66.25pt;width:57.95pt;height:108.75pt;z-index:251686400" filled="f" strokecolor="#0070c0" strokeweight="2pt"/>
        </w:pict>
      </w:r>
      <w:r w:rsidR="00B60D5E">
        <w:rPr>
          <w:noProof/>
          <w:lang w:val="nb-NO" w:eastAsia="nb-NO"/>
        </w:rPr>
        <w:drawing>
          <wp:inline distT="0" distB="0" distL="0" distR="0">
            <wp:extent cx="5278755" cy="7214065"/>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2721C9" w:rsidRPr="0085195F" w:rsidRDefault="002721C9" w:rsidP="002721C9">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F951A0">
      <w:pPr>
        <w:spacing w:line="240" w:lineRule="auto"/>
        <w:jc w:val="left"/>
        <w:rPr>
          <w:b/>
        </w:rPr>
      </w:pPr>
      <w:r>
        <w:rPr>
          <w:b/>
          <w:noProof/>
          <w:lang w:eastAsia="en-GB"/>
        </w:rPr>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D9510F">
        <w:rPr>
          <w:b/>
        </w:rPr>
        <w:t xml:space="preserve">Sweden </w:t>
      </w:r>
      <w:r w:rsidR="00F951A0">
        <w:rPr>
          <w:b/>
        </w:rPr>
        <w:t>–</w:t>
      </w:r>
      <w:r w:rsidR="00D9510F">
        <w:rPr>
          <w:b/>
        </w:rPr>
        <w:t xml:space="preserve"> Norway</w:t>
      </w:r>
    </w:p>
    <w:p w:rsidR="00F951A0" w:rsidRPr="00021CAB" w:rsidRDefault="00F951A0" w:rsidP="00F951A0">
      <w:pPr>
        <w:spacing w:after="240"/>
        <w:rPr>
          <w:i/>
        </w:rPr>
      </w:pPr>
      <w:r w:rsidRPr="00021CAB">
        <w:rPr>
          <w:i/>
        </w:rPr>
        <w:t>“Potential Accessibility Multimodal” scores accessibility of NUTS 3 regions by road, rail and air relative to the European average in an Accessibility Index.</w:t>
      </w:r>
    </w:p>
    <w:p w:rsidR="0089569C" w:rsidRDefault="002C408F" w:rsidP="0089569C">
      <w:pPr>
        <w:spacing w:after="0" w:line="240" w:lineRule="auto"/>
        <w:jc w:val="left"/>
        <w:rPr>
          <w:noProof/>
          <w:lang w:eastAsia="en-GB"/>
        </w:rPr>
      </w:pPr>
      <w:r w:rsidRPr="002C408F">
        <w:rPr>
          <w:i/>
          <w:noProof/>
          <w:lang w:val="de-DE" w:eastAsia="de-DE"/>
        </w:rPr>
        <w:pict>
          <v:oval id="_x0000_s1036" style="position:absolute;margin-left:164.4pt;margin-top:67.9pt;width:56.55pt;height:106.15pt;z-index:251687424" filled="f" strokecolor="#0070c0" strokeweight="2pt"/>
        </w:pict>
      </w:r>
      <w:r w:rsidR="0086427A">
        <w:rPr>
          <w:noProof/>
          <w:lang w:val="nb-NO" w:eastAsia="nb-NO"/>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9A69B3" w:rsidRDefault="0019394E" w:rsidP="0019394E">
      <w:pPr>
        <w:pStyle w:val="Overskrift1"/>
      </w:pPr>
      <w:r w:rsidRPr="009A69B3">
        <w:t xml:space="preserve">Recommended ESPON reading </w:t>
      </w:r>
    </w:p>
    <w:p w:rsidR="007952ED" w:rsidRDefault="007952ED" w:rsidP="007952E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7952ED" w:rsidRDefault="007952ED" w:rsidP="007952ED">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7952ED" w:rsidRPr="00A0472D" w:rsidTr="00B8643C">
        <w:trPr>
          <w:trHeight w:val="203"/>
        </w:trPr>
        <w:tc>
          <w:tcPr>
            <w:tcW w:w="1276" w:type="dxa"/>
            <w:shd w:val="clear" w:color="auto" w:fill="auto"/>
          </w:tcPr>
          <w:p w:rsidR="007952ED" w:rsidRPr="00A0472D" w:rsidRDefault="007952ED" w:rsidP="00B8643C">
            <w:pPr>
              <w:spacing w:after="0" w:line="20" w:lineRule="atLeast"/>
              <w:rPr>
                <w:b/>
                <w:sz w:val="18"/>
                <w:szCs w:val="18"/>
              </w:rPr>
            </w:pPr>
            <w:r w:rsidRPr="00A0472D">
              <w:rPr>
                <w:b/>
                <w:sz w:val="18"/>
                <w:szCs w:val="18"/>
              </w:rPr>
              <w:t>ESPON study</w:t>
            </w:r>
          </w:p>
        </w:tc>
        <w:tc>
          <w:tcPr>
            <w:tcW w:w="1418" w:type="dxa"/>
            <w:shd w:val="clear" w:color="auto" w:fill="auto"/>
          </w:tcPr>
          <w:p w:rsidR="007952ED" w:rsidRPr="00A0472D" w:rsidRDefault="007952ED" w:rsidP="00B8643C">
            <w:pPr>
              <w:spacing w:after="0" w:line="20" w:lineRule="atLeast"/>
              <w:rPr>
                <w:b/>
                <w:sz w:val="18"/>
                <w:szCs w:val="18"/>
              </w:rPr>
            </w:pPr>
            <w:r w:rsidRPr="00A0472D">
              <w:rPr>
                <w:b/>
                <w:sz w:val="18"/>
                <w:szCs w:val="18"/>
              </w:rPr>
              <w:t>Topic</w:t>
            </w:r>
          </w:p>
        </w:tc>
        <w:tc>
          <w:tcPr>
            <w:tcW w:w="5670" w:type="dxa"/>
            <w:shd w:val="clear" w:color="auto" w:fill="auto"/>
          </w:tcPr>
          <w:p w:rsidR="007952ED" w:rsidRPr="00A0472D" w:rsidRDefault="007952ED" w:rsidP="00B8643C">
            <w:pPr>
              <w:spacing w:after="0" w:line="20" w:lineRule="atLeast"/>
              <w:rPr>
                <w:b/>
                <w:sz w:val="18"/>
                <w:szCs w:val="18"/>
              </w:rPr>
            </w:pPr>
            <w:r w:rsidRPr="00A0472D">
              <w:rPr>
                <w:b/>
                <w:sz w:val="18"/>
                <w:szCs w:val="18"/>
              </w:rPr>
              <w:t>Content</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7952ED" w:rsidRPr="00A0472D" w:rsidRDefault="007952ED" w:rsidP="00B8643C">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7952ED" w:rsidRPr="00A0472D" w:rsidRDefault="007952ED" w:rsidP="00B8643C">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7952ED" w:rsidRPr="00A0472D" w:rsidRDefault="007952ED" w:rsidP="00B8643C">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7952ED" w:rsidRPr="00A0472D" w:rsidTr="00B8643C">
        <w:trPr>
          <w:trHeight w:val="274"/>
        </w:trPr>
        <w:tc>
          <w:tcPr>
            <w:tcW w:w="1276" w:type="dxa"/>
            <w:tcBorders>
              <w:bottom w:val="single" w:sz="4" w:space="0" w:color="auto"/>
            </w:tcBorders>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7952ED" w:rsidRPr="00A0472D" w:rsidRDefault="007952ED" w:rsidP="00B8643C">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7952ED" w:rsidRPr="00A0472D" w:rsidTr="00B8643C">
        <w:trPr>
          <w:trHeight w:val="274"/>
        </w:trPr>
        <w:tc>
          <w:tcPr>
            <w:tcW w:w="1276" w:type="dxa"/>
            <w:shd w:val="clear" w:color="auto" w:fill="FFFFFF" w:themeFill="background1"/>
          </w:tcPr>
          <w:p w:rsidR="007952ED" w:rsidRPr="008152C4" w:rsidRDefault="007952ED" w:rsidP="00B8643C">
            <w:pPr>
              <w:spacing w:after="0" w:line="20" w:lineRule="atLeast"/>
              <w:rPr>
                <w:sz w:val="18"/>
                <w:szCs w:val="18"/>
              </w:rPr>
            </w:pPr>
            <w:r>
              <w:rPr>
                <w:sz w:val="18"/>
                <w:szCs w:val="18"/>
              </w:rPr>
              <w:t>KIT</w:t>
            </w:r>
          </w:p>
        </w:tc>
        <w:tc>
          <w:tcPr>
            <w:tcW w:w="1418" w:type="dxa"/>
            <w:shd w:val="clear" w:color="auto" w:fill="FFFFFF" w:themeFill="background1"/>
          </w:tcPr>
          <w:p w:rsidR="007952ED" w:rsidRPr="008152C4" w:rsidRDefault="007952ED" w:rsidP="00B8643C">
            <w:pPr>
              <w:spacing w:after="0" w:line="20" w:lineRule="atLeast"/>
              <w:rPr>
                <w:sz w:val="18"/>
                <w:szCs w:val="18"/>
              </w:rPr>
            </w:pPr>
            <w:r w:rsidRPr="008152C4">
              <w:rPr>
                <w:sz w:val="18"/>
                <w:szCs w:val="18"/>
              </w:rPr>
              <w:t>Innovation</w:t>
            </w:r>
          </w:p>
        </w:tc>
        <w:tc>
          <w:tcPr>
            <w:tcW w:w="5670" w:type="dxa"/>
            <w:shd w:val="clear" w:color="auto" w:fill="FFFFFF" w:themeFill="background1"/>
          </w:tcPr>
          <w:p w:rsidR="007952ED" w:rsidRPr="008152C4" w:rsidRDefault="007952ED" w:rsidP="00B8643C">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7952ED" w:rsidRPr="00A0472D" w:rsidTr="00B8643C">
        <w:trPr>
          <w:trHeight w:val="274"/>
        </w:trPr>
        <w:tc>
          <w:tcPr>
            <w:tcW w:w="1276" w:type="dxa"/>
            <w:shd w:val="clear" w:color="auto" w:fill="FFFFFF" w:themeFill="background1"/>
          </w:tcPr>
          <w:p w:rsidR="007952ED" w:rsidRPr="00A0472D" w:rsidRDefault="007952ED" w:rsidP="00B8643C">
            <w:pPr>
              <w:spacing w:after="0" w:line="20" w:lineRule="atLeast"/>
              <w:rPr>
                <w:sz w:val="18"/>
                <w:szCs w:val="18"/>
              </w:rPr>
            </w:pPr>
            <w:r w:rsidRPr="008152C4">
              <w:rPr>
                <w:sz w:val="18"/>
                <w:szCs w:val="18"/>
              </w:rPr>
              <w:t>SGPTD</w:t>
            </w:r>
          </w:p>
        </w:tc>
        <w:tc>
          <w:tcPr>
            <w:tcW w:w="1418" w:type="dxa"/>
            <w:shd w:val="clear" w:color="auto" w:fill="FFFFFF" w:themeFill="background1"/>
          </w:tcPr>
          <w:p w:rsidR="007952ED" w:rsidRPr="00A0472D" w:rsidRDefault="007952ED" w:rsidP="00B8643C">
            <w:pPr>
              <w:spacing w:after="0" w:line="20" w:lineRule="atLeast"/>
              <w:rPr>
                <w:sz w:val="18"/>
                <w:szCs w:val="18"/>
              </w:rPr>
            </w:pPr>
            <w:r w:rsidRPr="008152C4">
              <w:rPr>
                <w:sz w:val="18"/>
                <w:szCs w:val="18"/>
              </w:rPr>
              <w:t>Growth poles</w:t>
            </w:r>
          </w:p>
        </w:tc>
        <w:tc>
          <w:tcPr>
            <w:tcW w:w="5670" w:type="dxa"/>
            <w:shd w:val="clear" w:color="auto" w:fill="FFFFFF" w:themeFill="background1"/>
          </w:tcPr>
          <w:p w:rsidR="007952ED" w:rsidRPr="00A0472D" w:rsidRDefault="007952ED" w:rsidP="00B8643C">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bl>
    <w:p w:rsidR="007952ED" w:rsidRDefault="007952ED" w:rsidP="007952ED">
      <w:pPr>
        <w:spacing w:before="240"/>
      </w:pPr>
      <w:r>
        <w:t>Furthermore, some of overall ESPON products of particular interest for territorial cooperation are:</w:t>
      </w:r>
    </w:p>
    <w:p w:rsidR="007952ED" w:rsidRDefault="007952ED" w:rsidP="007952ED">
      <w:pPr>
        <w:pStyle w:val="Listeavsnitt"/>
        <w:numPr>
          <w:ilvl w:val="0"/>
          <w:numId w:val="4"/>
        </w:numPr>
      </w:pPr>
      <w:r w:rsidRPr="00112693">
        <w:rPr>
          <w:b/>
        </w:rPr>
        <w:t>ESPON Synthesis report</w:t>
      </w:r>
      <w:r>
        <w:t xml:space="preserve"> “new evidence on smart, sustainable and inclusive territories” provides an easy to read overview on ESPON results available. </w:t>
      </w:r>
    </w:p>
    <w:p w:rsidR="007952ED" w:rsidRDefault="007952ED" w:rsidP="007952ED">
      <w:pPr>
        <w:pStyle w:val="Listeavsnitt"/>
        <w:numPr>
          <w:ilvl w:val="0"/>
          <w:numId w:val="4"/>
        </w:numPr>
      </w:pPr>
      <w:r w:rsidRPr="00112693">
        <w:rPr>
          <w:b/>
        </w:rPr>
        <w:t>ESPON Territorial Observations</w:t>
      </w:r>
      <w:r>
        <w:t xml:space="preserve"> is a publication series, which on a few pages presents policy relevant findings deriving from latest ESPON research. </w:t>
      </w:r>
    </w:p>
    <w:p w:rsidR="007952ED" w:rsidRPr="00A33083" w:rsidRDefault="007952ED" w:rsidP="007952ED">
      <w:pPr>
        <w:pStyle w:val="Listeavsnitt"/>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7952ED" w:rsidRDefault="007952ED" w:rsidP="007952ED">
      <w:pPr>
        <w:pStyle w:val="Listeavsnitt"/>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7952ED" w:rsidRPr="00CD642B" w:rsidRDefault="007952ED" w:rsidP="007952ED">
      <w:pPr>
        <w:pStyle w:val="Listeavsnitt"/>
        <w:numPr>
          <w:ilvl w:val="0"/>
          <w:numId w:val="4"/>
        </w:numPr>
      </w:pPr>
      <w:r w:rsidRPr="00112693">
        <w:rPr>
          <w:b/>
        </w:rPr>
        <w:t>ESPON MapFinder</w:t>
      </w:r>
      <w:r w:rsidRPr="00CD642B">
        <w:t xml:space="preserve"> provides access to the most relevant ESPON maps resulting from ESPON projects and reports. </w:t>
      </w:r>
    </w:p>
    <w:p w:rsidR="007952ED" w:rsidRDefault="007952ED" w:rsidP="007952ED">
      <w:pPr>
        <w:pStyle w:val="Listeavsnitt"/>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7952ED" w:rsidRPr="003E2CCE" w:rsidRDefault="007952ED" w:rsidP="007952ED">
      <w:pPr>
        <w:jc w:val="center"/>
      </w:pPr>
      <w:r w:rsidRPr="00CD642B">
        <w:t>All ESPON reports and tools are freely available at</w:t>
      </w:r>
      <w:r>
        <w:br/>
      </w:r>
      <w:r w:rsidRPr="00CD642B">
        <w:rPr>
          <w:b/>
        </w:rPr>
        <w:t>www.espon.eu</w:t>
      </w:r>
    </w:p>
    <w:p w:rsidR="007952ED" w:rsidRPr="007952ED" w:rsidRDefault="007952ED" w:rsidP="007952ED">
      <w:pPr>
        <w:rPr>
          <w:highlight w:val="yellow"/>
        </w:rPr>
      </w:pPr>
    </w:p>
    <w:p w:rsidR="00BC65E1" w:rsidRPr="00127102" w:rsidRDefault="001B300C" w:rsidP="00BC65E1">
      <w:pPr>
        <w:pStyle w:val="ESPONText"/>
        <w:rPr>
          <w:rFonts w:ascii="Arial" w:hAnsi="Arial" w:cs="Arial"/>
        </w:rPr>
      </w:pPr>
      <w:r>
        <w:rPr>
          <w:rFonts w:ascii="Arial" w:hAnsi="Arial" w:cs="Arial"/>
          <w:noProof/>
          <w:lang w:val="nb-NO" w:eastAsia="nb-NO"/>
        </w:rPr>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2C408F" w:rsidRPr="002C408F">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F97BA9" w:rsidRPr="002721C9" w:rsidRDefault="00F97BA9" w:rsidP="002721C9">
                  <w:pPr>
                    <w:rPr>
                      <w:szCs w:val="20"/>
                    </w:rPr>
                  </w:pPr>
                </w:p>
              </w:txbxContent>
            </v:textbox>
          </v:shape>
        </w:pict>
      </w:r>
      <w:r w:rsidR="002C408F" w:rsidRPr="002C408F">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F97BA9" w:rsidRPr="00FB783A" w:rsidRDefault="00F97BA9"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7D86" w:rsidRDefault="003B7D86">
      <w:r>
        <w:separator/>
      </w:r>
    </w:p>
  </w:endnote>
  <w:endnote w:type="continuationSeparator" w:id="0">
    <w:p w:rsidR="003B7D86" w:rsidRDefault="003B7D8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Default="002C408F" w:rsidP="00BC65E1">
    <w:pPr>
      <w:framePr w:wrap="around" w:vAnchor="text" w:hAnchor="margin" w:xAlign="right" w:y="1"/>
      <w:rPr>
        <w:rStyle w:val="Sidetall"/>
      </w:rPr>
    </w:pPr>
    <w:r>
      <w:rPr>
        <w:rStyle w:val="Sidetall"/>
      </w:rPr>
      <w:fldChar w:fldCharType="begin"/>
    </w:r>
    <w:r w:rsidR="00F97BA9">
      <w:rPr>
        <w:rStyle w:val="Sidetall"/>
      </w:rPr>
      <w:instrText xml:space="preserve">PAGE  </w:instrText>
    </w:r>
    <w:r>
      <w:rPr>
        <w:rStyle w:val="Sidetall"/>
      </w:rPr>
      <w:fldChar w:fldCharType="separate"/>
    </w:r>
    <w:r w:rsidR="00F97BA9">
      <w:rPr>
        <w:rStyle w:val="Sidetall"/>
        <w:noProof/>
      </w:rPr>
      <w:t>3</w:t>
    </w:r>
    <w:r>
      <w:rPr>
        <w:rStyle w:val="Sidetall"/>
      </w:rPr>
      <w:fldChar w:fldCharType="end"/>
    </w:r>
  </w:p>
  <w:p w:rsidR="00F97BA9" w:rsidRDefault="00F97BA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Pr="00A15B61" w:rsidRDefault="002C408F" w:rsidP="00BC65E1">
    <w:pPr>
      <w:pStyle w:val="Bunntekst"/>
      <w:framePr w:wrap="around" w:vAnchor="text" w:hAnchor="margin" w:xAlign="right" w:y="1"/>
      <w:rPr>
        <w:rStyle w:val="Sidetall"/>
      </w:rPr>
    </w:pPr>
    <w:r w:rsidRPr="00A15B61">
      <w:rPr>
        <w:rStyle w:val="Sidetall"/>
        <w:szCs w:val="20"/>
      </w:rPr>
      <w:fldChar w:fldCharType="begin"/>
    </w:r>
    <w:r w:rsidR="00F97BA9">
      <w:rPr>
        <w:rStyle w:val="Sidetall"/>
        <w:szCs w:val="20"/>
      </w:rPr>
      <w:instrText>PAGE</w:instrText>
    </w:r>
    <w:r w:rsidR="00F97BA9" w:rsidRPr="00A15B61">
      <w:rPr>
        <w:rStyle w:val="Sidetall"/>
        <w:szCs w:val="20"/>
      </w:rPr>
      <w:instrText xml:space="preserve">  </w:instrText>
    </w:r>
    <w:r w:rsidRPr="00A15B61">
      <w:rPr>
        <w:rStyle w:val="Sidetall"/>
        <w:szCs w:val="20"/>
      </w:rPr>
      <w:fldChar w:fldCharType="separate"/>
    </w:r>
    <w:r w:rsidR="00077B56">
      <w:rPr>
        <w:rStyle w:val="Sidetall"/>
        <w:noProof/>
        <w:szCs w:val="20"/>
      </w:rPr>
      <w:t>1</w:t>
    </w:r>
    <w:r w:rsidRPr="00A15B61">
      <w:rPr>
        <w:rStyle w:val="Sidetall"/>
        <w:szCs w:val="20"/>
      </w:rPr>
      <w:fldChar w:fldCharType="end"/>
    </w:r>
  </w:p>
  <w:p w:rsidR="00F97BA9" w:rsidRPr="00A15B61" w:rsidRDefault="00F97BA9" w:rsidP="006A3291">
    <w:pPr>
      <w:pStyle w:val="Bunntekst"/>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Pr="00A15B61" w:rsidRDefault="002C408F" w:rsidP="00BC65E1">
    <w:pPr>
      <w:pStyle w:val="Bunntekst"/>
      <w:framePr w:wrap="around" w:vAnchor="text" w:hAnchor="margin" w:xAlign="right" w:y="1"/>
      <w:rPr>
        <w:rStyle w:val="Sidetall"/>
      </w:rPr>
    </w:pPr>
    <w:r w:rsidRPr="00A15B61">
      <w:rPr>
        <w:rStyle w:val="Sidetall"/>
        <w:szCs w:val="20"/>
      </w:rPr>
      <w:fldChar w:fldCharType="begin"/>
    </w:r>
    <w:r w:rsidR="00F97BA9">
      <w:rPr>
        <w:rStyle w:val="Sidetall"/>
        <w:szCs w:val="20"/>
      </w:rPr>
      <w:instrText>PAGE</w:instrText>
    </w:r>
    <w:r w:rsidR="00F97BA9" w:rsidRPr="00A15B61">
      <w:rPr>
        <w:rStyle w:val="Sidetall"/>
        <w:szCs w:val="20"/>
      </w:rPr>
      <w:instrText xml:space="preserve">  </w:instrText>
    </w:r>
    <w:r w:rsidRPr="00A15B61">
      <w:rPr>
        <w:rStyle w:val="Sidetall"/>
        <w:szCs w:val="20"/>
      </w:rPr>
      <w:fldChar w:fldCharType="separate"/>
    </w:r>
    <w:r w:rsidR="00077B56">
      <w:rPr>
        <w:rStyle w:val="Sidetall"/>
        <w:noProof/>
        <w:szCs w:val="20"/>
      </w:rPr>
      <w:t>16</w:t>
    </w:r>
    <w:r w:rsidRPr="00A15B61">
      <w:rPr>
        <w:rStyle w:val="Sidetall"/>
        <w:szCs w:val="20"/>
      </w:rPr>
      <w:fldChar w:fldCharType="end"/>
    </w:r>
  </w:p>
  <w:p w:rsidR="00F97BA9" w:rsidRPr="00A15B61" w:rsidRDefault="00F97BA9" w:rsidP="006A3291">
    <w:pPr>
      <w:pStyle w:val="Bunntekst"/>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7D86" w:rsidRDefault="003B7D86">
      <w:r>
        <w:separator/>
      </w:r>
    </w:p>
  </w:footnote>
  <w:footnote w:type="continuationSeparator" w:id="0">
    <w:p w:rsidR="003B7D86" w:rsidRDefault="003B7D8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Default="002C408F">
    <w:pPr>
      <w:pStyle w:val="Topptekst"/>
    </w:pPr>
    <w:r w:rsidRPr="002C408F">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F97BA9" w:rsidRDefault="00F97BA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F97BA9" w:rsidRPr="00721B03" w:rsidRDefault="00F97BA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F97BA9">
      <w:rPr>
        <w:noProof/>
        <w:lang w:val="nb-NO" w:eastAsia="nb-NO"/>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BA9" w:rsidRDefault="00F97BA9">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Tahoma"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Arial"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Arial"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Arial"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Tahom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07ED"/>
    <w:rsid w:val="00001320"/>
    <w:rsid w:val="000013EA"/>
    <w:rsid w:val="00001574"/>
    <w:rsid w:val="000066AA"/>
    <w:rsid w:val="00010DE4"/>
    <w:rsid w:val="00011481"/>
    <w:rsid w:val="00011C3D"/>
    <w:rsid w:val="00011E26"/>
    <w:rsid w:val="00012892"/>
    <w:rsid w:val="00014F20"/>
    <w:rsid w:val="00016919"/>
    <w:rsid w:val="00016B50"/>
    <w:rsid w:val="000172BC"/>
    <w:rsid w:val="00020978"/>
    <w:rsid w:val="0002197F"/>
    <w:rsid w:val="00021A06"/>
    <w:rsid w:val="000271C6"/>
    <w:rsid w:val="00031AEC"/>
    <w:rsid w:val="0003274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7B56"/>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0B3C"/>
    <w:rsid w:val="000F1BA2"/>
    <w:rsid w:val="000F2140"/>
    <w:rsid w:val="00104631"/>
    <w:rsid w:val="00105B9D"/>
    <w:rsid w:val="00112060"/>
    <w:rsid w:val="00112095"/>
    <w:rsid w:val="001120BB"/>
    <w:rsid w:val="00112693"/>
    <w:rsid w:val="0011507D"/>
    <w:rsid w:val="0011785C"/>
    <w:rsid w:val="0012533B"/>
    <w:rsid w:val="001260F4"/>
    <w:rsid w:val="00127104"/>
    <w:rsid w:val="00132FDD"/>
    <w:rsid w:val="00133602"/>
    <w:rsid w:val="00134DC7"/>
    <w:rsid w:val="0013600B"/>
    <w:rsid w:val="001434BF"/>
    <w:rsid w:val="00143F94"/>
    <w:rsid w:val="001446E2"/>
    <w:rsid w:val="001507D7"/>
    <w:rsid w:val="00150A5A"/>
    <w:rsid w:val="00150FCB"/>
    <w:rsid w:val="00151954"/>
    <w:rsid w:val="00152974"/>
    <w:rsid w:val="00153108"/>
    <w:rsid w:val="0015612B"/>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1EF1"/>
    <w:rsid w:val="001A30F4"/>
    <w:rsid w:val="001A42AD"/>
    <w:rsid w:val="001A4965"/>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2AA4"/>
    <w:rsid w:val="00207B3F"/>
    <w:rsid w:val="0021343D"/>
    <w:rsid w:val="002146DB"/>
    <w:rsid w:val="0022077E"/>
    <w:rsid w:val="00220A8C"/>
    <w:rsid w:val="002214A4"/>
    <w:rsid w:val="00221A45"/>
    <w:rsid w:val="00221BF2"/>
    <w:rsid w:val="00221F77"/>
    <w:rsid w:val="00223DE3"/>
    <w:rsid w:val="002250F3"/>
    <w:rsid w:val="00227652"/>
    <w:rsid w:val="00227666"/>
    <w:rsid w:val="002371D8"/>
    <w:rsid w:val="00253237"/>
    <w:rsid w:val="0025373C"/>
    <w:rsid w:val="002605E0"/>
    <w:rsid w:val="0026077F"/>
    <w:rsid w:val="00264534"/>
    <w:rsid w:val="00265996"/>
    <w:rsid w:val="002721C9"/>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08F"/>
    <w:rsid w:val="002C4473"/>
    <w:rsid w:val="002C780D"/>
    <w:rsid w:val="002D1443"/>
    <w:rsid w:val="002D3185"/>
    <w:rsid w:val="002D5B13"/>
    <w:rsid w:val="002E0490"/>
    <w:rsid w:val="002E20E5"/>
    <w:rsid w:val="002E529A"/>
    <w:rsid w:val="002E619E"/>
    <w:rsid w:val="002F1D75"/>
    <w:rsid w:val="002F4B38"/>
    <w:rsid w:val="002F4DF3"/>
    <w:rsid w:val="002F713F"/>
    <w:rsid w:val="003008A1"/>
    <w:rsid w:val="00303833"/>
    <w:rsid w:val="00304555"/>
    <w:rsid w:val="00304A46"/>
    <w:rsid w:val="003052B2"/>
    <w:rsid w:val="0030699A"/>
    <w:rsid w:val="00322B33"/>
    <w:rsid w:val="003253E2"/>
    <w:rsid w:val="003351B4"/>
    <w:rsid w:val="00337519"/>
    <w:rsid w:val="00337872"/>
    <w:rsid w:val="00343921"/>
    <w:rsid w:val="00344591"/>
    <w:rsid w:val="003509D2"/>
    <w:rsid w:val="00351255"/>
    <w:rsid w:val="00351563"/>
    <w:rsid w:val="003526D5"/>
    <w:rsid w:val="00352B1D"/>
    <w:rsid w:val="00352D76"/>
    <w:rsid w:val="00353B5C"/>
    <w:rsid w:val="0035504D"/>
    <w:rsid w:val="00362CD8"/>
    <w:rsid w:val="00362D4C"/>
    <w:rsid w:val="00364E81"/>
    <w:rsid w:val="00371DBA"/>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B4B6F"/>
    <w:rsid w:val="003B7D86"/>
    <w:rsid w:val="003C07EF"/>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961"/>
    <w:rsid w:val="00401DDB"/>
    <w:rsid w:val="004022A4"/>
    <w:rsid w:val="004024D3"/>
    <w:rsid w:val="00402955"/>
    <w:rsid w:val="004043C4"/>
    <w:rsid w:val="004047DE"/>
    <w:rsid w:val="00404925"/>
    <w:rsid w:val="004054C3"/>
    <w:rsid w:val="0040760B"/>
    <w:rsid w:val="00410A29"/>
    <w:rsid w:val="004122A0"/>
    <w:rsid w:val="00412C19"/>
    <w:rsid w:val="00413EFA"/>
    <w:rsid w:val="004173E4"/>
    <w:rsid w:val="004177FC"/>
    <w:rsid w:val="0042391C"/>
    <w:rsid w:val="0042502E"/>
    <w:rsid w:val="00425055"/>
    <w:rsid w:val="00433090"/>
    <w:rsid w:val="004353CB"/>
    <w:rsid w:val="0043727A"/>
    <w:rsid w:val="0044029A"/>
    <w:rsid w:val="00445A8A"/>
    <w:rsid w:val="0044604E"/>
    <w:rsid w:val="00447210"/>
    <w:rsid w:val="0045231F"/>
    <w:rsid w:val="00454825"/>
    <w:rsid w:val="00456E90"/>
    <w:rsid w:val="004604F3"/>
    <w:rsid w:val="0046572E"/>
    <w:rsid w:val="00467598"/>
    <w:rsid w:val="00470A8B"/>
    <w:rsid w:val="00472744"/>
    <w:rsid w:val="00473131"/>
    <w:rsid w:val="004757FB"/>
    <w:rsid w:val="00475DCB"/>
    <w:rsid w:val="004778EB"/>
    <w:rsid w:val="00477CEB"/>
    <w:rsid w:val="0048039B"/>
    <w:rsid w:val="00484C5D"/>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33C5"/>
    <w:rsid w:val="00545F8A"/>
    <w:rsid w:val="005463AC"/>
    <w:rsid w:val="00552FAD"/>
    <w:rsid w:val="00556D25"/>
    <w:rsid w:val="00562AB0"/>
    <w:rsid w:val="0056756F"/>
    <w:rsid w:val="00571653"/>
    <w:rsid w:val="00571A61"/>
    <w:rsid w:val="00571C81"/>
    <w:rsid w:val="0057346D"/>
    <w:rsid w:val="005761A6"/>
    <w:rsid w:val="00582C35"/>
    <w:rsid w:val="00585345"/>
    <w:rsid w:val="00586BF0"/>
    <w:rsid w:val="00593AD0"/>
    <w:rsid w:val="00593B7A"/>
    <w:rsid w:val="00595161"/>
    <w:rsid w:val="005967A2"/>
    <w:rsid w:val="00597872"/>
    <w:rsid w:val="005A3E20"/>
    <w:rsid w:val="005A73D9"/>
    <w:rsid w:val="005A7DFC"/>
    <w:rsid w:val="005B3722"/>
    <w:rsid w:val="005C108D"/>
    <w:rsid w:val="005C58DE"/>
    <w:rsid w:val="005C6D17"/>
    <w:rsid w:val="005D0C21"/>
    <w:rsid w:val="005D1921"/>
    <w:rsid w:val="005D2D0B"/>
    <w:rsid w:val="005D53EE"/>
    <w:rsid w:val="005D621D"/>
    <w:rsid w:val="005D78FE"/>
    <w:rsid w:val="005E463C"/>
    <w:rsid w:val="005E4E4C"/>
    <w:rsid w:val="005E6290"/>
    <w:rsid w:val="005F1ECF"/>
    <w:rsid w:val="005F24DD"/>
    <w:rsid w:val="005F7BDC"/>
    <w:rsid w:val="0060091E"/>
    <w:rsid w:val="00610DAB"/>
    <w:rsid w:val="006153A9"/>
    <w:rsid w:val="0061660C"/>
    <w:rsid w:val="00616DE9"/>
    <w:rsid w:val="0061757F"/>
    <w:rsid w:val="006326AB"/>
    <w:rsid w:val="00633FE2"/>
    <w:rsid w:val="00643649"/>
    <w:rsid w:val="006441ED"/>
    <w:rsid w:val="00645CD2"/>
    <w:rsid w:val="0065018F"/>
    <w:rsid w:val="0065085F"/>
    <w:rsid w:val="00654361"/>
    <w:rsid w:val="0065695B"/>
    <w:rsid w:val="00657472"/>
    <w:rsid w:val="00657E48"/>
    <w:rsid w:val="00660A8B"/>
    <w:rsid w:val="006637D6"/>
    <w:rsid w:val="00664ACE"/>
    <w:rsid w:val="00667CB8"/>
    <w:rsid w:val="006743AD"/>
    <w:rsid w:val="00680B22"/>
    <w:rsid w:val="0068242A"/>
    <w:rsid w:val="00682613"/>
    <w:rsid w:val="00682B57"/>
    <w:rsid w:val="00683526"/>
    <w:rsid w:val="006847A3"/>
    <w:rsid w:val="00690277"/>
    <w:rsid w:val="0069219F"/>
    <w:rsid w:val="00695762"/>
    <w:rsid w:val="006A17A6"/>
    <w:rsid w:val="006A30AF"/>
    <w:rsid w:val="006A3291"/>
    <w:rsid w:val="006A5610"/>
    <w:rsid w:val="006A5F96"/>
    <w:rsid w:val="006A7FE2"/>
    <w:rsid w:val="006B48FD"/>
    <w:rsid w:val="006B59A1"/>
    <w:rsid w:val="006C481B"/>
    <w:rsid w:val="006C4FB1"/>
    <w:rsid w:val="006D18CA"/>
    <w:rsid w:val="006D3D3E"/>
    <w:rsid w:val="006D4106"/>
    <w:rsid w:val="006D4D0B"/>
    <w:rsid w:val="006D5157"/>
    <w:rsid w:val="006D5350"/>
    <w:rsid w:val="006D6890"/>
    <w:rsid w:val="006E1A6B"/>
    <w:rsid w:val="006E4366"/>
    <w:rsid w:val="006E5E38"/>
    <w:rsid w:val="006E618B"/>
    <w:rsid w:val="006E6E3F"/>
    <w:rsid w:val="006F0BC4"/>
    <w:rsid w:val="006F222E"/>
    <w:rsid w:val="006F49F1"/>
    <w:rsid w:val="006F4E16"/>
    <w:rsid w:val="00702CB8"/>
    <w:rsid w:val="00707885"/>
    <w:rsid w:val="0071023A"/>
    <w:rsid w:val="007107A7"/>
    <w:rsid w:val="007119D4"/>
    <w:rsid w:val="00712430"/>
    <w:rsid w:val="007153BD"/>
    <w:rsid w:val="00716E65"/>
    <w:rsid w:val="007172A4"/>
    <w:rsid w:val="00723E6D"/>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49AD"/>
    <w:rsid w:val="0077695D"/>
    <w:rsid w:val="0078171A"/>
    <w:rsid w:val="00782183"/>
    <w:rsid w:val="007831EE"/>
    <w:rsid w:val="00783B76"/>
    <w:rsid w:val="00783F35"/>
    <w:rsid w:val="00784218"/>
    <w:rsid w:val="007842F4"/>
    <w:rsid w:val="00787861"/>
    <w:rsid w:val="00791D68"/>
    <w:rsid w:val="0079272B"/>
    <w:rsid w:val="007949EF"/>
    <w:rsid w:val="007952ED"/>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F16DF"/>
    <w:rsid w:val="007F2A06"/>
    <w:rsid w:val="007F3142"/>
    <w:rsid w:val="008044DD"/>
    <w:rsid w:val="00804BA1"/>
    <w:rsid w:val="00805E5D"/>
    <w:rsid w:val="00811469"/>
    <w:rsid w:val="00812490"/>
    <w:rsid w:val="00812ECD"/>
    <w:rsid w:val="008132AD"/>
    <w:rsid w:val="00823513"/>
    <w:rsid w:val="0082390C"/>
    <w:rsid w:val="00823FCF"/>
    <w:rsid w:val="00827112"/>
    <w:rsid w:val="00827496"/>
    <w:rsid w:val="008321A8"/>
    <w:rsid w:val="00835D9A"/>
    <w:rsid w:val="00835EF3"/>
    <w:rsid w:val="00837651"/>
    <w:rsid w:val="008419E4"/>
    <w:rsid w:val="00844319"/>
    <w:rsid w:val="008454F5"/>
    <w:rsid w:val="00846CF1"/>
    <w:rsid w:val="00847741"/>
    <w:rsid w:val="00855241"/>
    <w:rsid w:val="008555CF"/>
    <w:rsid w:val="00856EFD"/>
    <w:rsid w:val="00857F3C"/>
    <w:rsid w:val="0086427A"/>
    <w:rsid w:val="00866E78"/>
    <w:rsid w:val="00871839"/>
    <w:rsid w:val="00872D40"/>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7DF"/>
    <w:rsid w:val="008C5656"/>
    <w:rsid w:val="008C7A02"/>
    <w:rsid w:val="008C7EA6"/>
    <w:rsid w:val="008D0268"/>
    <w:rsid w:val="008D1558"/>
    <w:rsid w:val="008D2417"/>
    <w:rsid w:val="008D3E90"/>
    <w:rsid w:val="008D471D"/>
    <w:rsid w:val="008D4CB6"/>
    <w:rsid w:val="008D6E60"/>
    <w:rsid w:val="008E033C"/>
    <w:rsid w:val="008E146A"/>
    <w:rsid w:val="008E14E5"/>
    <w:rsid w:val="008E24D2"/>
    <w:rsid w:val="008E385E"/>
    <w:rsid w:val="008E4D86"/>
    <w:rsid w:val="008E6B67"/>
    <w:rsid w:val="008F0D22"/>
    <w:rsid w:val="008F3EE5"/>
    <w:rsid w:val="008F6322"/>
    <w:rsid w:val="008F7203"/>
    <w:rsid w:val="00905001"/>
    <w:rsid w:val="00906A2B"/>
    <w:rsid w:val="00907BDF"/>
    <w:rsid w:val="009116A2"/>
    <w:rsid w:val="00911A6A"/>
    <w:rsid w:val="0091343C"/>
    <w:rsid w:val="00913874"/>
    <w:rsid w:val="00916E00"/>
    <w:rsid w:val="00921D38"/>
    <w:rsid w:val="0092562C"/>
    <w:rsid w:val="00927D4F"/>
    <w:rsid w:val="00931A61"/>
    <w:rsid w:val="009376E7"/>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69B3"/>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EA"/>
    <w:rsid w:val="009E70A1"/>
    <w:rsid w:val="009F21F0"/>
    <w:rsid w:val="009F2583"/>
    <w:rsid w:val="009F3D83"/>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4E29"/>
    <w:rsid w:val="00A457AA"/>
    <w:rsid w:val="00A46196"/>
    <w:rsid w:val="00A47168"/>
    <w:rsid w:val="00A525BD"/>
    <w:rsid w:val="00A55855"/>
    <w:rsid w:val="00A61620"/>
    <w:rsid w:val="00A62876"/>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422B"/>
    <w:rsid w:val="00B2763C"/>
    <w:rsid w:val="00B27F58"/>
    <w:rsid w:val="00B31866"/>
    <w:rsid w:val="00B3257D"/>
    <w:rsid w:val="00B328F8"/>
    <w:rsid w:val="00B33DE4"/>
    <w:rsid w:val="00B43B1B"/>
    <w:rsid w:val="00B45029"/>
    <w:rsid w:val="00B472A4"/>
    <w:rsid w:val="00B47314"/>
    <w:rsid w:val="00B47EEE"/>
    <w:rsid w:val="00B51A9A"/>
    <w:rsid w:val="00B54542"/>
    <w:rsid w:val="00B55DC5"/>
    <w:rsid w:val="00B57F87"/>
    <w:rsid w:val="00B57FCF"/>
    <w:rsid w:val="00B601F1"/>
    <w:rsid w:val="00B6026B"/>
    <w:rsid w:val="00B60D5E"/>
    <w:rsid w:val="00B61D5A"/>
    <w:rsid w:val="00B7058E"/>
    <w:rsid w:val="00B728C8"/>
    <w:rsid w:val="00B75224"/>
    <w:rsid w:val="00B757EC"/>
    <w:rsid w:val="00B77BD4"/>
    <w:rsid w:val="00B82E7B"/>
    <w:rsid w:val="00B85450"/>
    <w:rsid w:val="00B85AA5"/>
    <w:rsid w:val="00B8613C"/>
    <w:rsid w:val="00B872B1"/>
    <w:rsid w:val="00B875C2"/>
    <w:rsid w:val="00B92990"/>
    <w:rsid w:val="00B9562C"/>
    <w:rsid w:val="00B969F0"/>
    <w:rsid w:val="00B97A31"/>
    <w:rsid w:val="00BA0117"/>
    <w:rsid w:val="00BA05C6"/>
    <w:rsid w:val="00BA1233"/>
    <w:rsid w:val="00BA161A"/>
    <w:rsid w:val="00BA5459"/>
    <w:rsid w:val="00BA5775"/>
    <w:rsid w:val="00BA5AB5"/>
    <w:rsid w:val="00BA6309"/>
    <w:rsid w:val="00BA651D"/>
    <w:rsid w:val="00BB0721"/>
    <w:rsid w:val="00BB58D3"/>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D242E"/>
    <w:rsid w:val="00BE0557"/>
    <w:rsid w:val="00BE188E"/>
    <w:rsid w:val="00BE223D"/>
    <w:rsid w:val="00BE4274"/>
    <w:rsid w:val="00BE6599"/>
    <w:rsid w:val="00BF378B"/>
    <w:rsid w:val="00BF3C62"/>
    <w:rsid w:val="00BF3F26"/>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21CA"/>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4A17"/>
    <w:rsid w:val="00CF4E27"/>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1977"/>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9510F"/>
    <w:rsid w:val="00DA1668"/>
    <w:rsid w:val="00DA20D3"/>
    <w:rsid w:val="00DA3493"/>
    <w:rsid w:val="00DA3852"/>
    <w:rsid w:val="00DA49C4"/>
    <w:rsid w:val="00DA5A37"/>
    <w:rsid w:val="00DA63BF"/>
    <w:rsid w:val="00DA6F83"/>
    <w:rsid w:val="00DB42BD"/>
    <w:rsid w:val="00DB605C"/>
    <w:rsid w:val="00DC0823"/>
    <w:rsid w:val="00DC21BC"/>
    <w:rsid w:val="00DC3E4C"/>
    <w:rsid w:val="00DC4E40"/>
    <w:rsid w:val="00DC55C7"/>
    <w:rsid w:val="00DC60A4"/>
    <w:rsid w:val="00DC6422"/>
    <w:rsid w:val="00DD0539"/>
    <w:rsid w:val="00DD107E"/>
    <w:rsid w:val="00DD5DDA"/>
    <w:rsid w:val="00DE0D99"/>
    <w:rsid w:val="00DE584B"/>
    <w:rsid w:val="00DF22D8"/>
    <w:rsid w:val="00DF76E3"/>
    <w:rsid w:val="00E02024"/>
    <w:rsid w:val="00E03013"/>
    <w:rsid w:val="00E03104"/>
    <w:rsid w:val="00E03ABA"/>
    <w:rsid w:val="00E04EC2"/>
    <w:rsid w:val="00E06A41"/>
    <w:rsid w:val="00E10213"/>
    <w:rsid w:val="00E108F5"/>
    <w:rsid w:val="00E11808"/>
    <w:rsid w:val="00E21E7C"/>
    <w:rsid w:val="00E27072"/>
    <w:rsid w:val="00E32184"/>
    <w:rsid w:val="00E32185"/>
    <w:rsid w:val="00E32FB2"/>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F26"/>
    <w:rsid w:val="00E855FF"/>
    <w:rsid w:val="00E93CA8"/>
    <w:rsid w:val="00E97A65"/>
    <w:rsid w:val="00EA0FFC"/>
    <w:rsid w:val="00EA337F"/>
    <w:rsid w:val="00EA5A90"/>
    <w:rsid w:val="00EB092A"/>
    <w:rsid w:val="00EB19B2"/>
    <w:rsid w:val="00EB1F52"/>
    <w:rsid w:val="00EB1FF2"/>
    <w:rsid w:val="00EB5570"/>
    <w:rsid w:val="00EB6387"/>
    <w:rsid w:val="00EB7D50"/>
    <w:rsid w:val="00EC4562"/>
    <w:rsid w:val="00EC6878"/>
    <w:rsid w:val="00ED077F"/>
    <w:rsid w:val="00ED236B"/>
    <w:rsid w:val="00ED58B7"/>
    <w:rsid w:val="00ED5923"/>
    <w:rsid w:val="00ED5E74"/>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766A"/>
    <w:rsid w:val="00F92391"/>
    <w:rsid w:val="00F951A0"/>
    <w:rsid w:val="00F97BA9"/>
    <w:rsid w:val="00FA0267"/>
    <w:rsid w:val="00FA1FBB"/>
    <w:rsid w:val="00FB3AD9"/>
    <w:rsid w:val="00FC08B7"/>
    <w:rsid w:val="00FC2270"/>
    <w:rsid w:val="00FC5035"/>
    <w:rsid w:val="00FC6A8F"/>
    <w:rsid w:val="00FD413B"/>
    <w:rsid w:val="00FD4E3A"/>
    <w:rsid w:val="00FD54FE"/>
    <w:rsid w:val="00FD6260"/>
    <w:rsid w:val="00FD70D0"/>
    <w:rsid w:val="00FE7D95"/>
    <w:rsid w:val="00FF1861"/>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List Paragraph"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Overskrift1">
    <w:name w:val="heading 1"/>
    <w:basedOn w:val="Normal"/>
    <w:next w:val="Normal"/>
    <w:link w:val="Overskrift1Tegn"/>
    <w:autoRedefine/>
    <w:qFormat/>
    <w:rsid w:val="00001320"/>
    <w:pPr>
      <w:keepNext/>
      <w:numPr>
        <w:numId w:val="3"/>
      </w:numPr>
      <w:spacing w:before="120" w:line="240" w:lineRule="auto"/>
      <w:outlineLvl w:val="0"/>
    </w:pPr>
    <w:rPr>
      <w:b/>
      <w:bCs/>
      <w:kern w:val="32"/>
      <w:sz w:val="28"/>
      <w:szCs w:val="32"/>
    </w:rPr>
  </w:style>
  <w:style w:type="paragraph" w:styleId="Overskrift2">
    <w:name w:val="heading 2"/>
    <w:basedOn w:val="Overskrift1"/>
    <w:next w:val="Normal"/>
    <w:link w:val="Overskrift2Tegn"/>
    <w:qFormat/>
    <w:rsid w:val="00001320"/>
    <w:pPr>
      <w:numPr>
        <w:ilvl w:val="1"/>
      </w:numPr>
      <w:outlineLvl w:val="1"/>
    </w:pPr>
    <w:rPr>
      <w:rFonts w:cs="Arial"/>
      <w:b w:val="0"/>
      <w:bCs w:val="0"/>
      <w:iCs/>
      <w:sz w:val="24"/>
      <w:szCs w:val="28"/>
      <w:lang w:val="en-US"/>
    </w:rPr>
  </w:style>
  <w:style w:type="paragraph" w:styleId="Overskrift3">
    <w:name w:val="heading 3"/>
    <w:basedOn w:val="Normal"/>
    <w:next w:val="Normal"/>
    <w:link w:val="Overskrift3Tegn"/>
    <w:rsid w:val="00946375"/>
    <w:pPr>
      <w:keepNext/>
      <w:spacing w:before="240" w:after="60"/>
      <w:outlineLvl w:val="2"/>
    </w:pPr>
    <w:rPr>
      <w:b/>
      <w:bCs/>
      <w:sz w:val="22"/>
      <w:szCs w:val="26"/>
    </w:rPr>
  </w:style>
  <w:style w:type="paragraph" w:styleId="Overskrift4">
    <w:name w:val="heading 4"/>
    <w:basedOn w:val="Normal"/>
    <w:next w:val="Normal"/>
    <w:link w:val="Overskrift4Tegn"/>
    <w:rsid w:val="00001320"/>
    <w:pPr>
      <w:keepNext/>
      <w:numPr>
        <w:ilvl w:val="3"/>
        <w:numId w:val="3"/>
      </w:numPr>
      <w:spacing w:before="240" w:after="60"/>
      <w:outlineLvl w:val="3"/>
    </w:pPr>
    <w:rPr>
      <w:rFonts w:ascii="Cambria" w:hAnsi="Cambria"/>
      <w:b/>
      <w:bCs/>
      <w:sz w:val="28"/>
      <w:szCs w:val="28"/>
    </w:rPr>
  </w:style>
  <w:style w:type="paragraph" w:styleId="Overskrift5">
    <w:name w:val="heading 5"/>
    <w:basedOn w:val="Normal"/>
    <w:next w:val="Normal"/>
    <w:link w:val="Overskrift5Tegn"/>
    <w:rsid w:val="00001320"/>
    <w:pPr>
      <w:numPr>
        <w:ilvl w:val="4"/>
        <w:numId w:val="3"/>
      </w:numPr>
      <w:spacing w:before="240" w:after="60"/>
      <w:outlineLvl w:val="4"/>
    </w:pPr>
    <w:rPr>
      <w:rFonts w:ascii="Cambria" w:hAnsi="Cambria"/>
      <w:b/>
      <w:bCs/>
      <w:i/>
      <w:iCs/>
      <w:sz w:val="26"/>
      <w:szCs w:val="26"/>
    </w:rPr>
  </w:style>
  <w:style w:type="paragraph" w:styleId="Overskrift6">
    <w:name w:val="heading 6"/>
    <w:basedOn w:val="Normal"/>
    <w:next w:val="Normal"/>
    <w:link w:val="Overskrift6Tegn"/>
    <w:rsid w:val="00001320"/>
    <w:pPr>
      <w:numPr>
        <w:ilvl w:val="5"/>
        <w:numId w:val="3"/>
      </w:numPr>
      <w:spacing w:before="240" w:after="60"/>
      <w:outlineLvl w:val="5"/>
    </w:pPr>
    <w:rPr>
      <w:rFonts w:ascii="Cambria" w:hAnsi="Cambria"/>
      <w:b/>
      <w:bCs/>
      <w:szCs w:val="22"/>
    </w:rPr>
  </w:style>
  <w:style w:type="paragraph" w:styleId="Overskrift7">
    <w:name w:val="heading 7"/>
    <w:basedOn w:val="Normal"/>
    <w:next w:val="Normal"/>
    <w:link w:val="Overskrift7Tegn"/>
    <w:rsid w:val="00001320"/>
    <w:pPr>
      <w:numPr>
        <w:ilvl w:val="6"/>
        <w:numId w:val="3"/>
      </w:numPr>
      <w:spacing w:before="240" w:after="60"/>
      <w:outlineLvl w:val="6"/>
    </w:pPr>
    <w:rPr>
      <w:rFonts w:ascii="Cambria" w:hAnsi="Cambria"/>
      <w:sz w:val="24"/>
    </w:rPr>
  </w:style>
  <w:style w:type="paragraph" w:styleId="Overskrift8">
    <w:name w:val="heading 8"/>
    <w:basedOn w:val="Normal"/>
    <w:next w:val="Normal"/>
    <w:link w:val="Overskrift8Tegn"/>
    <w:rsid w:val="00001320"/>
    <w:pPr>
      <w:numPr>
        <w:ilvl w:val="7"/>
        <w:numId w:val="3"/>
      </w:numPr>
      <w:spacing w:before="240" w:after="60"/>
      <w:outlineLvl w:val="7"/>
    </w:pPr>
    <w:rPr>
      <w:rFonts w:ascii="Cambria" w:hAnsi="Cambria"/>
      <w:i/>
      <w:iCs/>
      <w:sz w:val="24"/>
    </w:rPr>
  </w:style>
  <w:style w:type="paragraph" w:styleId="Overskrift9">
    <w:name w:val="heading 9"/>
    <w:basedOn w:val="Normal"/>
    <w:next w:val="Normal"/>
    <w:link w:val="Overskrift9Tegn"/>
    <w:rsid w:val="00001320"/>
    <w:pPr>
      <w:numPr>
        <w:ilvl w:val="8"/>
        <w:numId w:val="3"/>
      </w:numPr>
      <w:spacing w:before="240" w:after="60"/>
      <w:outlineLvl w:val="8"/>
    </w:pPr>
    <w:rPr>
      <w:rFonts w:ascii="Calibri" w:hAnsi="Calibri"/>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2Tegn">
    <w:name w:val="Overskrift 2 Tegn"/>
    <w:basedOn w:val="Standardskriftforavsnitt"/>
    <w:link w:val="Overskrift2"/>
    <w:rsid w:val="00001320"/>
    <w:rPr>
      <w:rFonts w:ascii="Verdana" w:hAnsi="Verdana" w:cs="Arial"/>
      <w:iCs/>
      <w:kern w:val="32"/>
      <w:szCs w:val="28"/>
      <w:lang w:eastAsia="en-US"/>
    </w:rPr>
  </w:style>
  <w:style w:type="character" w:styleId="Sidetall">
    <w:name w:val="page number"/>
    <w:aliases w:val="ESPON Page No"/>
    <w:basedOn w:val="Standardskriftforavsnitt"/>
    <w:rsid w:val="00A15B61"/>
  </w:style>
  <w:style w:type="character" w:styleId="Hyperkobling">
    <w:name w:val="Hyperlink"/>
    <w:basedOn w:val="Standardskriftforav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Topptekst">
    <w:name w:val="header"/>
    <w:basedOn w:val="Normal"/>
    <w:rsid w:val="00A15B61"/>
    <w:pPr>
      <w:tabs>
        <w:tab w:val="center" w:pos="4320"/>
        <w:tab w:val="right" w:pos="8640"/>
      </w:tabs>
    </w:pPr>
  </w:style>
  <w:style w:type="paragraph" w:styleId="Bunntekst">
    <w:name w:val="footer"/>
    <w:basedOn w:val="Normal"/>
    <w:link w:val="BunntekstTegn"/>
    <w:rsid w:val="00A15B61"/>
    <w:pPr>
      <w:tabs>
        <w:tab w:val="center" w:pos="4320"/>
        <w:tab w:val="right" w:pos="8640"/>
      </w:tabs>
    </w:pPr>
  </w:style>
  <w:style w:type="table" w:styleId="Tabellrutenett">
    <w:name w:val="Table Grid"/>
    <w:basedOn w:val="Vanlig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721B03"/>
    <w:rPr>
      <w:rFonts w:ascii="Tahoma" w:hAnsi="Tahoma" w:cs="Tahoma"/>
      <w:sz w:val="16"/>
      <w:szCs w:val="16"/>
    </w:rPr>
  </w:style>
  <w:style w:type="character" w:customStyle="1" w:styleId="BobletekstTegn">
    <w:name w:val="Bobletekst Tegn"/>
    <w:basedOn w:val="Standardskriftforavsnitt"/>
    <w:link w:val="Bobletekst"/>
    <w:uiPriority w:val="99"/>
    <w:semiHidden/>
    <w:rsid w:val="00721B03"/>
    <w:rPr>
      <w:rFonts w:ascii="Tahoma" w:hAnsi="Tahoma" w:cs="Tahoma"/>
      <w:sz w:val="16"/>
      <w:szCs w:val="16"/>
      <w:lang w:val="en-GB"/>
    </w:rPr>
  </w:style>
  <w:style w:type="character" w:styleId="Fotnotereferanse">
    <w:name w:val="footnote reference"/>
    <w:basedOn w:val="Standardskriftforavsnitt"/>
    <w:semiHidden/>
    <w:rsid w:val="00C47ADC"/>
    <w:rPr>
      <w:sz w:val="20"/>
      <w:vertAlign w:val="superscript"/>
    </w:rPr>
  </w:style>
  <w:style w:type="paragraph" w:styleId="Fotnotetekst">
    <w:name w:val="footnote text"/>
    <w:link w:val="FotnotetekstTegn"/>
    <w:semiHidden/>
    <w:rsid w:val="00FD6260"/>
    <w:pPr>
      <w:jc w:val="both"/>
    </w:pPr>
    <w:rPr>
      <w:rFonts w:ascii="Arial" w:hAnsi="Arial"/>
      <w:sz w:val="18"/>
      <w:lang w:val="en-GB" w:eastAsia="en-US"/>
    </w:rPr>
  </w:style>
  <w:style w:type="character" w:customStyle="1" w:styleId="FotnotetekstTegn">
    <w:name w:val="Fotnotetekst Tegn"/>
    <w:basedOn w:val="Standardskriftforavsnitt"/>
    <w:link w:val="Fotnoteteks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BunntekstTegn">
    <w:name w:val="Bunntekst Tegn"/>
    <w:basedOn w:val="Standardskriftforavsnitt"/>
    <w:link w:val="Bunntekst"/>
    <w:rsid w:val="0047467F"/>
    <w:rPr>
      <w:rFonts w:ascii="Verdana" w:hAnsi="Verdana"/>
      <w:sz w:val="24"/>
      <w:szCs w:val="24"/>
      <w:lang w:val="en-GB"/>
    </w:rPr>
  </w:style>
  <w:style w:type="character" w:customStyle="1" w:styleId="Overskrift1Tegn">
    <w:name w:val="Overskrift 1 Tegn"/>
    <w:basedOn w:val="Standardskriftforavsnitt"/>
    <w:link w:val="Overskrift1"/>
    <w:rsid w:val="00001320"/>
    <w:rPr>
      <w:rFonts w:ascii="Verdana" w:hAnsi="Verdana"/>
      <w:b/>
      <w:bCs/>
      <w:kern w:val="32"/>
      <w:sz w:val="28"/>
      <w:szCs w:val="32"/>
      <w:lang w:val="en-GB" w:eastAsia="en-US"/>
    </w:rPr>
  </w:style>
  <w:style w:type="character" w:customStyle="1" w:styleId="Overskrift3Tegn">
    <w:name w:val="Overskrift 3 Tegn"/>
    <w:basedOn w:val="Standardskriftforavsnitt"/>
    <w:link w:val="Overskrift3"/>
    <w:rsid w:val="00946375"/>
    <w:rPr>
      <w:rFonts w:ascii="Verdana" w:hAnsi="Verdana"/>
      <w:b/>
      <w:bCs/>
      <w:sz w:val="22"/>
      <w:szCs w:val="26"/>
      <w:lang w:val="en-GB" w:eastAsia="en-US"/>
    </w:rPr>
  </w:style>
  <w:style w:type="character" w:customStyle="1" w:styleId="Overskrift4Tegn">
    <w:name w:val="Overskrift 4 Tegn"/>
    <w:basedOn w:val="Standardskriftforavsnitt"/>
    <w:link w:val="Overskrift4"/>
    <w:rsid w:val="00001320"/>
    <w:rPr>
      <w:rFonts w:ascii="Cambria" w:hAnsi="Cambria"/>
      <w:b/>
      <w:bCs/>
      <w:sz w:val="28"/>
      <w:szCs w:val="28"/>
      <w:lang w:val="en-GB" w:eastAsia="en-US"/>
    </w:rPr>
  </w:style>
  <w:style w:type="character" w:customStyle="1" w:styleId="Overskrift5Tegn">
    <w:name w:val="Overskrift 5 Tegn"/>
    <w:basedOn w:val="Standardskriftforavsnitt"/>
    <w:link w:val="Overskrift5"/>
    <w:rsid w:val="00001320"/>
    <w:rPr>
      <w:rFonts w:ascii="Cambria" w:hAnsi="Cambria"/>
      <w:b/>
      <w:bCs/>
      <w:i/>
      <w:iCs/>
      <w:sz w:val="26"/>
      <w:szCs w:val="26"/>
      <w:lang w:val="en-GB" w:eastAsia="en-US"/>
    </w:rPr>
  </w:style>
  <w:style w:type="character" w:customStyle="1" w:styleId="Overskrift6Tegn">
    <w:name w:val="Overskrift 6 Tegn"/>
    <w:basedOn w:val="Standardskriftforavsnitt"/>
    <w:link w:val="Overskrift6"/>
    <w:rsid w:val="00001320"/>
    <w:rPr>
      <w:rFonts w:ascii="Cambria" w:hAnsi="Cambria"/>
      <w:b/>
      <w:bCs/>
      <w:sz w:val="20"/>
      <w:szCs w:val="22"/>
      <w:lang w:val="en-GB" w:eastAsia="en-US"/>
    </w:rPr>
  </w:style>
  <w:style w:type="character" w:customStyle="1" w:styleId="Overskrift7Tegn">
    <w:name w:val="Overskrift 7 Tegn"/>
    <w:basedOn w:val="Standardskriftforavsnitt"/>
    <w:link w:val="Overskrift7"/>
    <w:rsid w:val="00001320"/>
    <w:rPr>
      <w:rFonts w:ascii="Cambria" w:hAnsi="Cambria"/>
      <w:lang w:val="en-GB" w:eastAsia="en-US"/>
    </w:rPr>
  </w:style>
  <w:style w:type="character" w:customStyle="1" w:styleId="Overskrift8Tegn">
    <w:name w:val="Overskrift 8 Tegn"/>
    <w:basedOn w:val="Standardskriftforavsnitt"/>
    <w:link w:val="Overskrift8"/>
    <w:rsid w:val="00001320"/>
    <w:rPr>
      <w:rFonts w:ascii="Cambria" w:hAnsi="Cambria"/>
      <w:i/>
      <w:iCs/>
      <w:lang w:val="en-GB" w:eastAsia="en-US"/>
    </w:rPr>
  </w:style>
  <w:style w:type="character" w:customStyle="1" w:styleId="Overskrift9Tegn">
    <w:name w:val="Overskrift 9 Tegn"/>
    <w:basedOn w:val="Standardskriftforavsnitt"/>
    <w:link w:val="Overskrift9"/>
    <w:rsid w:val="00001320"/>
    <w:rPr>
      <w:rFonts w:ascii="Calibri" w:hAnsi="Calibri"/>
      <w:sz w:val="20"/>
      <w:szCs w:val="22"/>
      <w:lang w:val="en-GB" w:eastAsia="en-US"/>
    </w:rPr>
  </w:style>
  <w:style w:type="paragraph" w:styleId="Listeavsnitt">
    <w:name w:val="List Paragraph"/>
    <w:basedOn w:val="Normal"/>
    <w:qFormat/>
    <w:rsid w:val="00B969F0"/>
    <w:pPr>
      <w:ind w:left="720"/>
      <w:contextualSpacing/>
    </w:pPr>
  </w:style>
  <w:style w:type="character" w:styleId="Merknadsreferanse">
    <w:name w:val="annotation reference"/>
    <w:basedOn w:val="Standardskriftforavsnitt"/>
    <w:rsid w:val="004933BE"/>
    <w:rPr>
      <w:sz w:val="16"/>
      <w:szCs w:val="16"/>
    </w:rPr>
  </w:style>
  <w:style w:type="paragraph" w:styleId="Merknadstekst">
    <w:name w:val="annotation text"/>
    <w:basedOn w:val="Normal"/>
    <w:link w:val="MerknadstekstTegn"/>
    <w:rsid w:val="004933BE"/>
    <w:pPr>
      <w:spacing w:line="240" w:lineRule="auto"/>
    </w:pPr>
    <w:rPr>
      <w:szCs w:val="20"/>
    </w:rPr>
  </w:style>
  <w:style w:type="character" w:customStyle="1" w:styleId="MerknadstekstTegn">
    <w:name w:val="Merknadstekst Tegn"/>
    <w:basedOn w:val="Standardskriftforavsnitt"/>
    <w:link w:val="Merknadstekst"/>
    <w:rsid w:val="004933BE"/>
    <w:rPr>
      <w:rFonts w:ascii="Verdana" w:hAnsi="Verdana"/>
      <w:sz w:val="20"/>
      <w:szCs w:val="20"/>
      <w:lang w:val="en-GB" w:eastAsia="en-US"/>
    </w:rPr>
  </w:style>
  <w:style w:type="paragraph" w:styleId="Kommentaremne">
    <w:name w:val="annotation subject"/>
    <w:basedOn w:val="Merknadstekst"/>
    <w:next w:val="Merknadstekst"/>
    <w:link w:val="KommentaremneTegn"/>
    <w:rsid w:val="004933BE"/>
    <w:rPr>
      <w:b/>
      <w:bCs/>
    </w:rPr>
  </w:style>
  <w:style w:type="character" w:customStyle="1" w:styleId="KommentaremneTegn">
    <w:name w:val="Kommentaremne Tegn"/>
    <w:basedOn w:val="MerknadstekstTegn"/>
    <w:link w:val="Kommentare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ildetekst">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jon">
    <w:name w:val="Revision"/>
    <w:hidden/>
    <w:rsid w:val="00086387"/>
    <w:rPr>
      <w:rFonts w:ascii="Verdana" w:hAnsi="Verdana"/>
      <w:sz w:val="20"/>
      <w:lang w:val="en-GB" w:eastAsia="en-US"/>
    </w:rPr>
  </w:style>
  <w:style w:type="character" w:styleId="Fulgthyperkobling">
    <w:name w:val="FollowedHyperlink"/>
    <w:basedOn w:val="Standardskriftforavsnitt"/>
    <w:rsid w:val="00A02FD6"/>
    <w:rPr>
      <w:color w:val="800080" w:themeColor="followedHyperlink"/>
      <w:u w:val="single"/>
    </w:rPr>
  </w:style>
  <w:style w:type="character" w:customStyle="1" w:styleId="apple-converted-space">
    <w:name w:val="apple-converted-space"/>
    <w:basedOn w:val="Standardskriftforavsnitt"/>
    <w:rsid w:val="00654361"/>
  </w:style>
  <w:style w:type="character" w:customStyle="1" w:styleId="hps">
    <w:name w:val="hps"/>
    <w:basedOn w:val="Standardskriftforavsnit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09402683">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98947208">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180436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3.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DC129D4-895B-4B41-AA27-BC238B8FA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3448</Words>
  <Characters>18276</Characters>
  <Application>Microsoft Office Word</Application>
  <DocSecurity>4</DocSecurity>
  <Lines>152</Lines>
  <Paragraphs>43</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21681</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Testbruker</cp:lastModifiedBy>
  <cp:revision>2</cp:revision>
  <cp:lastPrinted>2012-11-05T12:48:00Z</cp:lastPrinted>
  <dcterms:created xsi:type="dcterms:W3CDTF">2013-02-28T09:22:00Z</dcterms:created>
  <dcterms:modified xsi:type="dcterms:W3CDTF">2013-02-28T09:22:00Z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