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206672" w:rsidRDefault="00853CBB" w:rsidP="000D3299">
      <w:pPr>
        <w:spacing w:line="240" w:lineRule="auto"/>
        <w:ind w:left="-851"/>
        <w:jc w:val="center"/>
        <w:rPr>
          <w:rFonts w:ascii="Arial" w:hAnsi="Arial" w:cs="Arial"/>
          <w:sz w:val="40"/>
          <w:szCs w:val="40"/>
          <w:lang w:val="en-US"/>
        </w:rPr>
      </w:pPr>
      <w:r>
        <w:rPr>
          <w:rFonts w:ascii="Arial" w:hAnsi="Arial" w:cs="Arial"/>
          <w:sz w:val="40"/>
          <w:szCs w:val="40"/>
          <w:lang w:val="en-US"/>
        </w:rPr>
        <w:t>Öresund</w:t>
      </w:r>
      <w:r w:rsidR="0037366C" w:rsidRPr="00206672">
        <w:rPr>
          <w:rFonts w:ascii="Arial" w:hAnsi="Arial" w:cs="Arial"/>
          <w:sz w:val="40"/>
          <w:szCs w:val="40"/>
          <w:lang w:val="en-US"/>
        </w:rPr>
        <w:t xml:space="preserve"> – </w:t>
      </w:r>
      <w:r>
        <w:rPr>
          <w:rFonts w:ascii="Arial" w:hAnsi="Arial" w:cs="Arial"/>
          <w:sz w:val="40"/>
          <w:szCs w:val="40"/>
          <w:lang w:val="en-US"/>
        </w:rPr>
        <w:t>Kattegat – Skagerrak</w:t>
      </w:r>
    </w:p>
    <w:p w:rsidR="00E613A3" w:rsidRDefault="00794237" w:rsidP="00337519">
      <w:pPr>
        <w:spacing w:after="0" w:line="240" w:lineRule="auto"/>
        <w:ind w:left="-851"/>
        <w:jc w:val="center"/>
        <w:rPr>
          <w:rFonts w:ascii="Arial" w:hAnsi="Arial" w:cs="Arial"/>
          <w:sz w:val="32"/>
          <w:szCs w:val="32"/>
          <w:lang w:val="en-US"/>
        </w:rPr>
      </w:pPr>
      <w:r>
        <w:rPr>
          <w:rFonts w:ascii="Arial" w:hAnsi="Arial" w:cs="Arial"/>
          <w:noProof/>
          <w:sz w:val="32"/>
          <w:szCs w:val="32"/>
          <w:lang w:val="nb-NO" w:eastAsia="nb-NO"/>
        </w:rPr>
        <w:drawing>
          <wp:anchor distT="0" distB="0" distL="114300" distR="114300" simplePos="0" relativeHeight="251672064" behindDoc="0" locked="0" layoutInCell="1" allowOverlap="1">
            <wp:simplePos x="0" y="0"/>
            <wp:positionH relativeFrom="column">
              <wp:posOffset>2947035</wp:posOffset>
            </wp:positionH>
            <wp:positionV relativeFrom="paragraph">
              <wp:posOffset>4087495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08597A">
        <w:rPr>
          <w:rFonts w:ascii="Arial" w:hAnsi="Arial" w:cs="Arial"/>
          <w:noProof/>
          <w:sz w:val="32"/>
          <w:szCs w:val="32"/>
          <w:lang w:val="nb-NO" w:eastAsia="nb-NO"/>
        </w:rPr>
        <w:drawing>
          <wp:inline distT="0" distB="0" distL="0" distR="0">
            <wp:extent cx="2619375" cy="4838700"/>
            <wp:effectExtent l="19050" t="0" r="9525"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19375" cy="48387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206672" w:rsidRDefault="00206672" w:rsidP="00206672">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206672" w:rsidRDefault="00206672" w:rsidP="00206672">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Overskrift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48700B" w:rsidRPr="0085195F" w:rsidRDefault="000A647A" w:rsidP="0048700B">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48700B" w:rsidRPr="0085195F">
        <w:t>This is intended as an electronic publication so map quality is generally high to allow users to zoom into specific territories.</w:t>
      </w:r>
    </w:p>
    <w:p w:rsidR="000A647A" w:rsidRDefault="0048700B" w:rsidP="0048700B">
      <w:pPr>
        <w:shd w:val="clear" w:color="auto" w:fill="FFFFFF"/>
      </w:pPr>
      <w:r w:rsidRPr="0085195F">
        <w:t>This factsheet does not necessarily reflect the opinion of the ESPON Monitoring Committee.</w:t>
      </w:r>
    </w:p>
    <w:p w:rsidR="00A433AA" w:rsidRDefault="00A433AA" w:rsidP="00BA161A">
      <w:pPr>
        <w:pStyle w:val="Overskrift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0D773E" w:rsidRDefault="000D773E" w:rsidP="000D773E">
      <w:r>
        <w:t>In the following the traffic light for each indicator represents how your programme territory compares to wider European and national medians where green = your programme area performs better for that indicator, yel</w:t>
      </w:r>
      <w:r w:rsidR="008D3388">
        <w:t>low = similar, and red = worse.</w:t>
      </w:r>
    </w:p>
    <w:p w:rsidR="00B85CF6" w:rsidRDefault="00B85CF6" w:rsidP="00B85CF6">
      <w:r>
        <w:t>In creating the traffic</w:t>
      </w:r>
      <w:r w:rsidR="000D773E">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540004" w:rsidRPr="00973E76" w:rsidRDefault="00540004" w:rsidP="00540004">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Overskrift3"/>
      </w:pPr>
      <w:r w:rsidRPr="006401ED">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4773E" w:rsidRDefault="0054773E" w:rsidP="0054773E">
      <w:r>
        <w:rPr>
          <w:noProof/>
          <w:lang w:val="nb-NO" w:eastAsia="nb-NO"/>
        </w:rPr>
        <w:drawing>
          <wp:anchor distT="0" distB="0" distL="114300" distR="114300" simplePos="0" relativeHeight="251681280" behindDoc="1" locked="0" layoutInCell="1" allowOverlap="1">
            <wp:simplePos x="0" y="0"/>
            <wp:positionH relativeFrom="column">
              <wp:posOffset>-27305</wp:posOffset>
            </wp:positionH>
            <wp:positionV relativeFrom="paragraph">
              <wp:posOffset>4445</wp:posOffset>
            </wp:positionV>
            <wp:extent cx="5273675" cy="2434590"/>
            <wp:effectExtent l="19050" t="0" r="3175" b="0"/>
            <wp:wrapTight wrapText="bothSides">
              <wp:wrapPolygon edited="0">
                <wp:start x="-78" y="0"/>
                <wp:lineTo x="-78" y="21465"/>
                <wp:lineTo x="21613" y="21465"/>
                <wp:lineTo x="21613" y="0"/>
                <wp:lineTo x="-78" y="0"/>
              </wp:wrapPolygon>
            </wp:wrapTight>
            <wp:docPr id="8" name="Bild 1" descr="P:\LU_2011_ESPON_TerrEvi_100269\03_Project development\WorkinProgress_FactSheets\Factsheets_CBC_neu\TL_CBC3\Denmark-Sweden-Norw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Denmark-Sweden-Norway 1.png"/>
                    <pic:cNvPicPr>
                      <a:picLocks noChangeAspect="1" noChangeArrowheads="1"/>
                    </pic:cNvPicPr>
                  </pic:nvPicPr>
                  <pic:blipFill>
                    <a:blip r:embed="rId16" cstate="print"/>
                    <a:srcRect/>
                    <a:stretch>
                      <a:fillRect/>
                    </a:stretch>
                  </pic:blipFill>
                  <pic:spPr bwMode="auto">
                    <a:xfrm>
                      <a:off x="0" y="0"/>
                      <a:ext cx="5273675" cy="2434590"/>
                    </a:xfrm>
                    <a:prstGeom prst="rect">
                      <a:avLst/>
                    </a:prstGeom>
                    <a:noFill/>
                    <a:ln w="9525">
                      <a:noFill/>
                      <a:miter lim="800000"/>
                      <a:headEnd/>
                      <a:tailEnd/>
                    </a:ln>
                  </pic:spPr>
                </pic:pic>
              </a:graphicData>
            </a:graphic>
          </wp:anchor>
        </w:drawing>
      </w:r>
    </w:p>
    <w:p w:rsidR="006401ED" w:rsidRPr="0041748D" w:rsidRDefault="006401ED" w:rsidP="0054773E">
      <w:r w:rsidRPr="0041748D">
        <w:t xml:space="preserve">According to all indicators reported above, the </w:t>
      </w:r>
      <w:r w:rsidR="00445ABE">
        <w:t>Öresund - Kattegat</w:t>
      </w:r>
      <w:r w:rsidRPr="00480301">
        <w:t xml:space="preserve"> – Skagerrak</w:t>
      </w:r>
      <w:r w:rsidRPr="0041748D">
        <w:t xml:space="preserve"> CBC area performs at a </w:t>
      </w:r>
      <w:r>
        <w:t>much better</w:t>
      </w:r>
      <w:r w:rsidRPr="0041748D">
        <w:t xml:space="preserve"> level </w:t>
      </w:r>
      <w:r>
        <w:t>than</w:t>
      </w:r>
      <w:r w:rsidRPr="0041748D">
        <w:t xml:space="preserve"> the EU27+4 space and all CBC ones.</w:t>
      </w:r>
      <w:r>
        <w:t xml:space="preserve"> </w:t>
      </w:r>
      <w:r w:rsidRPr="0041748D">
        <w:t>Considering the o</w:t>
      </w:r>
      <w:r>
        <w:t xml:space="preserve">bjective of R&amp;D expenditure as a </w:t>
      </w:r>
      <w:r w:rsidRPr="0041748D">
        <w:t xml:space="preserve">percentage of GDP - one of the five headline targets in the Europe 2020 Strategy - the CBC area is performing </w:t>
      </w:r>
      <w:r>
        <w:t>better than all European and national areas considered.</w:t>
      </w:r>
      <w:r w:rsidRPr="0041748D">
        <w:t xml:space="preserve"> </w:t>
      </w:r>
      <w:r>
        <w:t>However, the CBC area is characteris</w:t>
      </w:r>
      <w:r w:rsidRPr="0041748D">
        <w:t>ed by a high level of internal</w:t>
      </w:r>
      <w:r>
        <w:t xml:space="preserve"> disparity</w:t>
      </w:r>
      <w:r w:rsidRPr="0041748D">
        <w:t>.</w:t>
      </w:r>
      <w:r>
        <w:t xml:space="preserve"> </w:t>
      </w:r>
      <w:r w:rsidRPr="0041748D">
        <w:t>Concerning the ratio of employment in knowledge-intensive service</w:t>
      </w:r>
      <w:r>
        <w:t>s</w:t>
      </w:r>
      <w:r w:rsidRPr="0041748D">
        <w:t xml:space="preserve"> to the total employment in 2010, the CBC area </w:t>
      </w:r>
      <w:r>
        <w:t>is performing better than</w:t>
      </w:r>
      <w:r w:rsidRPr="0041748D">
        <w:t xml:space="preserve"> the EU27+4 space, all CBCs and </w:t>
      </w:r>
      <w:r>
        <w:t>Denmark</w:t>
      </w:r>
      <w:r w:rsidRPr="0041748D">
        <w:t xml:space="preserve">. </w:t>
      </w:r>
      <w:r>
        <w:t>However, it is doing</w:t>
      </w:r>
      <w:r w:rsidRPr="0041748D">
        <w:t xml:space="preserve"> worse than </w:t>
      </w:r>
      <w:r>
        <w:t>Norway and Sweden</w:t>
      </w:r>
      <w:r w:rsidRPr="0041748D">
        <w:t xml:space="preserve">. The distribution inside the CBC area results in a </w:t>
      </w:r>
      <w:r>
        <w:t>low</w:t>
      </w:r>
      <w:r w:rsidRPr="0041748D">
        <w:t xml:space="preserve"> level of internal disparity. In terms of percentage of individuals regularly using internet in 2011, the </w:t>
      </w:r>
      <w:r w:rsidRPr="00480301">
        <w:t xml:space="preserve">Öresund - </w:t>
      </w:r>
      <w:r w:rsidR="00445ABE">
        <w:t>Kattegat</w:t>
      </w:r>
      <w:r w:rsidRPr="00480301">
        <w:t xml:space="preserve"> – Skagerrak</w:t>
      </w:r>
      <w:r w:rsidRPr="0041748D">
        <w:t xml:space="preserve"> CBC area has the same values as</w:t>
      </w:r>
      <w:r>
        <w:t xml:space="preserve"> the EU27+4 space, all CBCs and Denmark</w:t>
      </w:r>
      <w:r w:rsidRPr="0041748D">
        <w:t xml:space="preserve">, while </w:t>
      </w:r>
      <w:r>
        <w:t>doing the same</w:t>
      </w:r>
      <w:r w:rsidRPr="0041748D">
        <w:t xml:space="preserve"> than </w:t>
      </w:r>
      <w:r>
        <w:t>Sweden</w:t>
      </w:r>
      <w:r w:rsidRPr="0041748D">
        <w:t xml:space="preserve"> and</w:t>
      </w:r>
      <w:r>
        <w:t xml:space="preserve"> worse than Norway</w:t>
      </w:r>
      <w:r w:rsidRPr="0041748D">
        <w:t xml:space="preserve">, with </w:t>
      </w:r>
      <w:r>
        <w:t>small internal disparities</w:t>
      </w:r>
      <w:r w:rsidRPr="0041748D">
        <w:t>.</w:t>
      </w:r>
    </w:p>
    <w:p w:rsidR="00CF3F33" w:rsidRPr="00B92990" w:rsidRDefault="00CF3F33" w:rsidP="00CF3F33">
      <w:r w:rsidRPr="0041748D">
        <w:t xml:space="preserve">According to the classification of the KIT project, MAP 1 identifies </w:t>
      </w:r>
      <w:r>
        <w:t>a varied pattern of innovation</w:t>
      </w:r>
      <w:r w:rsidRPr="00B92990">
        <w:t xml:space="preserve">: </w:t>
      </w:r>
    </w:p>
    <w:p w:rsidR="00CF3F33" w:rsidRDefault="00CF3F33" w:rsidP="00CF3F33">
      <w:pPr>
        <w:pStyle w:val="Listeavsnitt"/>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Danish</w:t>
      </w:r>
      <w:r w:rsidRPr="00AD2C00">
        <w:rPr>
          <w:rFonts w:cstheme="minorHAnsi"/>
          <w:szCs w:val="20"/>
        </w:rPr>
        <w:t xml:space="preserve"> part</w:t>
      </w:r>
      <w:r>
        <w:rPr>
          <w:rFonts w:cstheme="minorHAnsi"/>
          <w:szCs w:val="20"/>
        </w:rPr>
        <w:t xml:space="preserve"> incl. the largest island of Zealand</w:t>
      </w:r>
      <w:r w:rsidRPr="00AD2C00">
        <w:rPr>
          <w:rFonts w:cstheme="minorHAnsi"/>
          <w:szCs w:val="20"/>
        </w:rPr>
        <w:t xml:space="preserve">. It is associated to </w:t>
      </w:r>
      <w:r w:rsidRPr="00AD2C00">
        <w:rPr>
          <w:szCs w:val="20"/>
        </w:rPr>
        <w:t>a quite high generality and originality of science-based local knowledge, and a high degree of attractiveness of knowledge coming from other regions</w:t>
      </w:r>
      <w:r>
        <w:rPr>
          <w:szCs w:val="20"/>
        </w:rPr>
        <w:t>;</w:t>
      </w:r>
      <w:r w:rsidRPr="00AD2C00">
        <w:rPr>
          <w:szCs w:val="20"/>
        </w:rPr>
        <w:t xml:space="preserve"> </w:t>
      </w:r>
    </w:p>
    <w:p w:rsidR="00CF3F33" w:rsidRPr="00981592" w:rsidRDefault="00CF3F33" w:rsidP="00CF3F33">
      <w:pPr>
        <w:pStyle w:val="Listeavsnitt"/>
        <w:numPr>
          <w:ilvl w:val="0"/>
          <w:numId w:val="14"/>
        </w:numPr>
        <w:autoSpaceDE w:val="0"/>
        <w:autoSpaceDN w:val="0"/>
        <w:adjustRightInd w:val="0"/>
        <w:spacing w:after="0" w:line="240" w:lineRule="auto"/>
        <w:rPr>
          <w:rFonts w:cstheme="minorHAnsi"/>
          <w:szCs w:val="20"/>
        </w:rPr>
      </w:pPr>
      <w:r w:rsidRPr="009B52D9">
        <w:rPr>
          <w:rFonts w:cstheme="minorHAnsi"/>
          <w:szCs w:val="20"/>
        </w:rPr>
        <w:t>‘Smart technolog</w:t>
      </w:r>
      <w:r>
        <w:rPr>
          <w:rFonts w:cstheme="minorHAnsi"/>
          <w:szCs w:val="20"/>
        </w:rPr>
        <w:t>ical application area’, in the Swedish and (mainland) Danish parts</w:t>
      </w:r>
      <w:r w:rsidRPr="009B52D9">
        <w:rPr>
          <w:rFonts w:cstheme="minorHAnsi"/>
          <w:szCs w:val="20"/>
        </w:rPr>
        <w:t>. It is defined by a high product innovation level, with a limited degree of local applied science</w:t>
      </w:r>
      <w:r>
        <w:rPr>
          <w:rFonts w:cstheme="minorHAnsi"/>
          <w:szCs w:val="20"/>
        </w:rPr>
        <w:t xml:space="preserve"> and R&amp;D endowment</w:t>
      </w:r>
      <w:r w:rsidRPr="009B52D9">
        <w:rPr>
          <w:rFonts w:cstheme="minorHAnsi"/>
          <w:szCs w:val="20"/>
        </w:rPr>
        <w:t>, and a high creativity which allows translating external basic science and applied sci</w:t>
      </w:r>
      <w:r>
        <w:rPr>
          <w:rFonts w:cstheme="minorHAnsi"/>
          <w:szCs w:val="20"/>
        </w:rPr>
        <w:t>ence knowledge into innovation;</w:t>
      </w:r>
    </w:p>
    <w:p w:rsidR="00CF3F33" w:rsidRPr="006401ED" w:rsidRDefault="00CF3F33" w:rsidP="00CF3F33">
      <w:pPr>
        <w:pStyle w:val="Listeavsnitt"/>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w:t>
      </w:r>
      <w:r>
        <w:rPr>
          <w:rFonts w:cstheme="minorHAnsi"/>
          <w:szCs w:val="20"/>
        </w:rPr>
        <w:t>the Norwegian part.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w:t>
      </w:r>
      <w:r>
        <w:rPr>
          <w:rFonts w:cstheme="minorHAnsi"/>
          <w:szCs w:val="20"/>
        </w:rPr>
        <w:t>organizational capabilities.</w:t>
      </w:r>
    </w:p>
    <w:p w:rsidR="00B85CF6" w:rsidRDefault="00B85CF6">
      <w:pPr>
        <w:spacing w:after="0" w:line="240" w:lineRule="auto"/>
        <w:jc w:val="left"/>
        <w:rPr>
          <w:szCs w:val="20"/>
        </w:rPr>
      </w:pPr>
      <w:r>
        <w:rPr>
          <w:szCs w:val="20"/>
        </w:rPr>
        <w:br w:type="page"/>
      </w:r>
    </w:p>
    <w:p w:rsidR="00A06AEA" w:rsidRPr="004C764D" w:rsidRDefault="00337872" w:rsidP="00A06AEA">
      <w:pPr>
        <w:rPr>
          <w:b/>
          <w:lang w:val="en-US"/>
        </w:rPr>
      </w:pPr>
      <w:r w:rsidRPr="004E39BD">
        <w:rPr>
          <w:b/>
        </w:rPr>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853CBB">
        <w:rPr>
          <w:b/>
        </w:rPr>
        <w:t>Öresund – Kattegat – Skagerrak</w:t>
      </w:r>
    </w:p>
    <w:p w:rsidR="008A3B96" w:rsidRDefault="008A3B96" w:rsidP="008A3B96"/>
    <w:p w:rsidR="008A3B96" w:rsidRDefault="00D53AA0" w:rsidP="008A3B96">
      <w:pPr>
        <w:spacing w:after="0" w:line="240" w:lineRule="auto"/>
      </w:pPr>
      <w:r w:rsidRPr="00D53AA0">
        <w:rPr>
          <w:noProof/>
          <w:lang w:val="de-DE" w:eastAsia="de-DE"/>
        </w:rPr>
        <w:pict>
          <v:oval id="_x0000_s1029" style="position:absolute;left:0;text-align:left;margin-left:165pt;margin-top:119pt;width:58.4pt;height:75.8pt;rotation:-1814385fd;z-index:251673088" filled="f" strokecolor="#0070c0" strokeweight="2pt"/>
        </w:pict>
      </w:r>
      <w:r w:rsidR="00A31FFF">
        <w:rPr>
          <w:noProof/>
          <w:lang w:val="nb-NO" w:eastAsia="nb-NO"/>
        </w:rPr>
        <w:drawing>
          <wp:inline distT="0" distB="0" distL="0" distR="0">
            <wp:extent cx="5278755" cy="6284584"/>
            <wp:effectExtent l="19050" t="0" r="0" b="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4F26B8" w:rsidRDefault="004F26B8">
      <w:pPr>
        <w:spacing w:after="0" w:line="240" w:lineRule="auto"/>
        <w:jc w:val="left"/>
      </w:pPr>
      <w:r>
        <w:br w:type="page"/>
      </w:r>
    </w:p>
    <w:p w:rsidR="004F26B8" w:rsidRDefault="004F26B8" w:rsidP="004F26B8">
      <w:pPr>
        <w:pStyle w:val="Overskrift3"/>
      </w:pPr>
      <w:r w:rsidRPr="00351147">
        <w:t>Sustainable growth</w:t>
      </w:r>
      <w:r w:rsidRPr="00337872">
        <w:t xml:space="preserve"> </w:t>
      </w:r>
    </w:p>
    <w:p w:rsidR="004F26B8" w:rsidRDefault="0054773E" w:rsidP="00C00C96">
      <w:r>
        <w:rPr>
          <w:noProof/>
          <w:lang w:val="nb-NO" w:eastAsia="nb-NO"/>
        </w:rPr>
        <w:drawing>
          <wp:anchor distT="0" distB="0" distL="114300" distR="114300" simplePos="0" relativeHeight="251682304" behindDoc="1" locked="0" layoutInCell="1" allowOverlap="1">
            <wp:simplePos x="0" y="0"/>
            <wp:positionH relativeFrom="column">
              <wp:posOffset>-27305</wp:posOffset>
            </wp:positionH>
            <wp:positionV relativeFrom="paragraph">
              <wp:posOffset>1283970</wp:posOffset>
            </wp:positionV>
            <wp:extent cx="5273675" cy="2647315"/>
            <wp:effectExtent l="19050" t="0" r="3175" b="0"/>
            <wp:wrapTight wrapText="bothSides">
              <wp:wrapPolygon edited="0">
                <wp:start x="-78" y="0"/>
                <wp:lineTo x="-78" y="21450"/>
                <wp:lineTo x="21613" y="21450"/>
                <wp:lineTo x="21613" y="0"/>
                <wp:lineTo x="-78" y="0"/>
              </wp:wrapPolygon>
            </wp:wrapTight>
            <wp:docPr id="9" name="Bild 2" descr="P:\LU_2011_ESPON_TerrEvi_100269\03_Project development\WorkinProgress_FactSheets\Factsheets_CBC_neu\TL_CBC3\Denmark-Sweden-Norwa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Denmark-Sweden-Norway 2.png"/>
                    <pic:cNvPicPr>
                      <a:picLocks noChangeAspect="1" noChangeArrowheads="1"/>
                    </pic:cNvPicPr>
                  </pic:nvPicPr>
                  <pic:blipFill>
                    <a:blip r:embed="rId18" cstate="print"/>
                    <a:srcRect/>
                    <a:stretch>
                      <a:fillRect/>
                    </a:stretch>
                  </pic:blipFill>
                  <pic:spPr bwMode="auto">
                    <a:xfrm>
                      <a:off x="0" y="0"/>
                      <a:ext cx="5273675" cy="264731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framework of the E</w:t>
      </w:r>
      <w:r w:rsidR="00445ABE">
        <w:t>urope</w:t>
      </w:r>
      <w:r w:rsidR="00276DA6">
        <w:t xml:space="preserve"> 2020 Strategy it means </w:t>
      </w:r>
      <w:r w:rsidR="006D6890">
        <w:t>focus on competitiveness, resource efficiency, climate change and biodiversity</w:t>
      </w:r>
      <w:r w:rsidR="00276DA6">
        <w:t>.</w:t>
      </w:r>
    </w:p>
    <w:p w:rsidR="00351147" w:rsidRDefault="00351147" w:rsidP="00C00C96">
      <w:r w:rsidRPr="00351147">
        <w:t>The use of wind energy could be one of the cornerstones in building a competitive low-carbon economy in the EU.</w:t>
      </w:r>
      <w:r>
        <w:t xml:space="preserve"> The CBC area of </w:t>
      </w:r>
      <w:r w:rsidR="00445ABE">
        <w:t>Öresund - Kattegat</w:t>
      </w:r>
      <w:r w:rsidR="00445ABE" w:rsidRPr="00480301">
        <w:t xml:space="preserve"> – Skagerrak</w:t>
      </w:r>
      <w:r w:rsidR="00445ABE" w:rsidRPr="0041748D">
        <w:t xml:space="preserve"> </w:t>
      </w:r>
      <w:r w:rsidR="004776E4">
        <w:t>has a strong potential</w:t>
      </w:r>
      <w:r>
        <w:t xml:space="preserve"> in using this sustainable source of energy, </w:t>
      </w:r>
      <w:r w:rsidR="004776E4">
        <w:t xml:space="preserve">as </w:t>
      </w:r>
      <w:r>
        <w:t>its med</w:t>
      </w:r>
      <w:r w:rsidR="004776E4">
        <w:t>ian value considerably exceeds</w:t>
      </w:r>
      <w:r>
        <w:t xml:space="preserve"> that of the EU-27+4 or all CBC areas. The median value for wind energy potential is in general at the same level as in Denmark or Norway, however, it is much below the Swedish national median. It has to be noted that Sweden has a</w:t>
      </w:r>
      <w:r w:rsidR="005276AB">
        <w:t>n</w:t>
      </w:r>
      <w:r>
        <w:t xml:space="preserve"> extremely high level of wind energy potential in the European context. The level of ozone concentration is</w:t>
      </w:r>
      <w:r w:rsidR="005276AB">
        <w:t xml:space="preserve"> also</w:t>
      </w:r>
      <w:r>
        <w:t xml:space="preserve"> much below the relevant values for the EU-27+4 or all CBC areas. Again it is similar to that of Denmark and slightly lower than that of Sweden (no data available for Norway). The CBC area’s potential vulnerability to climate change is at a very low (close to ‘0’) level, similarly to the level of all three partner-countries. Overall the programme area is potentially much less vulnerable to climate change than other EU-27+4 or CBC regions.</w:t>
      </w:r>
      <w:r w:rsidR="00E90DDF">
        <w:t xml:space="preserve"> All three indicators are characterised by high disparities with</w:t>
      </w:r>
      <w:r w:rsidR="005276AB">
        <w:t>in</w:t>
      </w:r>
      <w:r w:rsidR="00E90DDF">
        <w:t xml:space="preserve"> the CBC area, a situation also reflected in BOX-PLOT 2.</w:t>
      </w:r>
    </w:p>
    <w:p w:rsidR="005A5FC4" w:rsidRDefault="00351147" w:rsidP="00C00C96">
      <w:r>
        <w:t xml:space="preserve">BOX-PLOT 2 on combined adaptive capacity to climate change mirrors the strong position of the programme area described by the sustainable growth indicators above. All border regions are in a highly </w:t>
      </w:r>
      <w:r w:rsidR="00FD367B">
        <w:t>‘illustrious’ position when compared to other EU-27+4 or other CBC areas, as all of them fall within the upper 25% of all European regions (the Danish region of Byen København standing at the top of the range). The performance of the border-regions with regard to their combined adaptive capacity is more similar to the national levels. Four of the Danish border-regions, namely Byen København, Nordsjælland, Københavns omegn and Born</w:t>
      </w:r>
      <w:r w:rsidR="00A9419F">
        <w:t>holm have very strong combined adaptive capacity even in the national context, while the Danish region of Vest- og Sydsjælland has a relatively weak adaptive capacity (one of the weakest among all border-regions and all Danish regions as well).</w:t>
      </w:r>
    </w:p>
    <w:p w:rsidR="005A5FC4" w:rsidRDefault="00A9419F" w:rsidP="00C00C96">
      <w:r>
        <w:t xml:space="preserve">According to MAP 2, Directive 11 seem to have no particular territorial impact on fossil fuel consumption in most of the </w:t>
      </w:r>
      <w:r w:rsidR="005276AB">
        <w:t xml:space="preserve">Denmark-Sweden-Norway </w:t>
      </w:r>
      <w:r>
        <w:t>border-area, with the exception of the Capital Region of Denmark</w:t>
      </w:r>
      <w:r w:rsidR="00E90DDF">
        <w:t xml:space="preserve"> (Region Hovestaden)</w:t>
      </w:r>
      <w:r>
        <w:t xml:space="preserve">, where some </w:t>
      </w:r>
      <w:r w:rsidR="00AF1548" w:rsidRPr="006401ED">
        <w:t>minor impact</w:t>
      </w:r>
      <w:r w:rsidR="00AF1548">
        <w:t xml:space="preserve"> has been detected.</w:t>
      </w:r>
    </w:p>
    <w:p w:rsidR="00AA127F" w:rsidRDefault="00AA127F" w:rsidP="00C00C96"/>
    <w:p w:rsidR="00A06AEA" w:rsidRPr="00C33A99" w:rsidRDefault="009F77A8" w:rsidP="00A06AEA">
      <w:pPr>
        <w:rPr>
          <w:b/>
        </w:rPr>
      </w:pPr>
      <w:r w:rsidRPr="00C33A99">
        <w:rPr>
          <w:b/>
        </w:rPr>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853CBB">
        <w:rPr>
          <w:b/>
        </w:rPr>
        <w:t>Öresund – Kattegat – Skagerrak</w:t>
      </w:r>
    </w:p>
    <w:p w:rsidR="00D26713" w:rsidRDefault="00D26713" w:rsidP="00D26713">
      <w:pPr>
        <w:spacing w:after="0" w:line="240" w:lineRule="auto"/>
        <w:rPr>
          <w:noProof/>
          <w:lang w:eastAsia="en-GB"/>
        </w:rPr>
      </w:pPr>
    </w:p>
    <w:p w:rsidR="00D26713" w:rsidRDefault="00D53AA0" w:rsidP="00D26713">
      <w:pPr>
        <w:spacing w:after="0" w:line="240" w:lineRule="auto"/>
        <w:rPr>
          <w:noProof/>
          <w:lang w:eastAsia="en-GB"/>
        </w:rPr>
      </w:pPr>
      <w:r w:rsidRPr="00D53AA0">
        <w:rPr>
          <w:noProof/>
          <w:lang w:val="de-DE" w:eastAsia="de-DE"/>
        </w:rPr>
        <w:pict>
          <v:oval id="_x0000_s1030" style="position:absolute;left:0;text-align:left;margin-left:190pt;margin-top:98.4pt;width:66.5pt;height:86.35pt;rotation:-1814385fd;z-index:251674112" filled="f" strokecolor="#0070c0" strokeweight="2pt"/>
        </w:pict>
      </w:r>
      <w:r w:rsidR="00A31FFF">
        <w:rPr>
          <w:noProof/>
          <w:lang w:val="nb-NO" w:eastAsia="nb-NO"/>
        </w:rPr>
        <w:drawing>
          <wp:inline distT="0" distB="0" distL="0" distR="0">
            <wp:extent cx="5278755" cy="581562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540004" w:rsidRDefault="00540004" w:rsidP="005A5FC4">
      <w:pPr>
        <w:rPr>
          <w:b/>
        </w:rPr>
      </w:pPr>
    </w:p>
    <w:p w:rsidR="00540004" w:rsidRDefault="00540004" w:rsidP="005A5FC4">
      <w:pPr>
        <w:rPr>
          <w:b/>
        </w:rPr>
      </w:pPr>
    </w:p>
    <w:p w:rsidR="00540004" w:rsidRDefault="00540004" w:rsidP="005A5FC4">
      <w:pPr>
        <w:rPr>
          <w:b/>
        </w:rPr>
      </w:pPr>
    </w:p>
    <w:p w:rsidR="00540004" w:rsidRDefault="00540004" w:rsidP="005A5FC4">
      <w:pPr>
        <w:rPr>
          <w:b/>
        </w:rPr>
      </w:pPr>
    </w:p>
    <w:p w:rsidR="0054773E" w:rsidRDefault="0054773E" w:rsidP="005A5FC4">
      <w:pPr>
        <w:rPr>
          <w:b/>
        </w:rPr>
      </w:pPr>
    </w:p>
    <w:p w:rsidR="0054773E" w:rsidRDefault="0054773E" w:rsidP="005A5FC4">
      <w:pPr>
        <w:rPr>
          <w:b/>
        </w:rPr>
      </w:pPr>
    </w:p>
    <w:p w:rsidR="0054773E" w:rsidRDefault="0054773E" w:rsidP="005A5FC4">
      <w:pPr>
        <w:rPr>
          <w:b/>
        </w:rPr>
      </w:pPr>
    </w:p>
    <w:p w:rsidR="005A5FC4" w:rsidRDefault="006E618B" w:rsidP="005A5FC4">
      <w:pPr>
        <w:rPr>
          <w:b/>
        </w:rPr>
      </w:pPr>
      <w:r w:rsidRPr="00891092">
        <w:rPr>
          <w:b/>
        </w:rPr>
        <w:t>BOX</w:t>
      </w:r>
      <w:r w:rsidR="0054220D" w:rsidRPr="00891092">
        <w:rPr>
          <w:b/>
        </w:rPr>
        <w:t>-</w:t>
      </w:r>
      <w:r w:rsidRPr="00891092">
        <w:rPr>
          <w:b/>
        </w:rPr>
        <w:t>PLOT</w:t>
      </w:r>
      <w:r w:rsidR="00016B50" w:rsidRPr="00891092">
        <w:rPr>
          <w:b/>
        </w:rPr>
        <w:t xml:space="preserve"> 1 – </w:t>
      </w:r>
      <w:r w:rsidRPr="00891092">
        <w:rPr>
          <w:b/>
        </w:rPr>
        <w:t>Combined adaptive capacity to climate change (ESPON CLIMATE project)</w:t>
      </w:r>
      <w:r w:rsidR="002371D8" w:rsidRPr="00891092">
        <w:rPr>
          <w:b/>
        </w:rPr>
        <w:t xml:space="preserve"> for the CBC </w:t>
      </w:r>
      <w:r w:rsidR="00853CBB">
        <w:rPr>
          <w:b/>
        </w:rPr>
        <w:t>Öresund – Kattegat – Skagerrak</w:t>
      </w:r>
    </w:p>
    <w:p w:rsidR="00540004" w:rsidRPr="00021CAB" w:rsidRDefault="00540004" w:rsidP="00540004">
      <w:pPr>
        <w:spacing w:after="240"/>
        <w:rPr>
          <w:i/>
        </w:rPr>
      </w:pPr>
      <w:r>
        <w:rPr>
          <w:i/>
          <w:noProof/>
          <w:lang w:val="nb-NO" w:eastAsia="nb-NO"/>
        </w:rPr>
        <w:drawing>
          <wp:anchor distT="0" distB="0" distL="114300" distR="114300" simplePos="0" relativeHeight="251671040" behindDoc="1" locked="0" layoutInCell="1" allowOverlap="1">
            <wp:simplePos x="0" y="0"/>
            <wp:positionH relativeFrom="column">
              <wp:posOffset>-46355</wp:posOffset>
            </wp:positionH>
            <wp:positionV relativeFrom="paragraph">
              <wp:posOffset>751840</wp:posOffset>
            </wp:positionV>
            <wp:extent cx="5264785" cy="4156710"/>
            <wp:effectExtent l="19050" t="0" r="0" b="0"/>
            <wp:wrapTight wrapText="bothSides">
              <wp:wrapPolygon edited="0">
                <wp:start x="-78" y="0"/>
                <wp:lineTo x="-78" y="21481"/>
                <wp:lineTo x="21571" y="21481"/>
                <wp:lineTo x="21571" y="0"/>
                <wp:lineTo x="-78" y="0"/>
              </wp:wrapPolygon>
            </wp:wrapTight>
            <wp:docPr id="12" name="Bild 1" descr="C:\Users\pucher.METIS-VIENNA\Desktop\boxplots\Öresund - Kattegatt - Skagerrak\cac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cher.METIS-VIENNA\Desktop\boxplots\Öresund - Kattegatt - Skagerrak\caccc0.jpg"/>
                    <pic:cNvPicPr>
                      <a:picLocks noChangeAspect="1" noChangeArrowheads="1"/>
                    </pic:cNvPicPr>
                  </pic:nvPicPr>
                  <pic:blipFill>
                    <a:blip r:embed="rId20" cstate="print"/>
                    <a:srcRect/>
                    <a:stretch>
                      <a:fillRect/>
                    </a:stretch>
                  </pic:blipFill>
                  <pic:spPr bwMode="auto">
                    <a:xfrm>
                      <a:off x="0" y="0"/>
                      <a:ext cx="5264785" cy="4156710"/>
                    </a:xfrm>
                    <a:prstGeom prst="rect">
                      <a:avLst/>
                    </a:prstGeom>
                    <a:noFill/>
                    <a:ln w="9525">
                      <a:noFill/>
                      <a:miter lim="800000"/>
                      <a:headEnd/>
                      <a:tailEnd/>
                    </a:ln>
                  </pic:spPr>
                </pic:pic>
              </a:graphicData>
            </a:graphic>
          </wp:anchor>
        </w:drawing>
      </w: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AD6766" w:rsidRPr="006F0BC4" w:rsidRDefault="00AD6766" w:rsidP="00AD6766">
      <w:pPr>
        <w:pStyle w:val="Overskrift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Overskrift3"/>
      </w:pPr>
      <w:r w:rsidRPr="00AF1548">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E90DDF" w:rsidRDefault="00137A0B" w:rsidP="00137A0B">
      <w:pPr>
        <w:rPr>
          <w:noProof/>
          <w:lang w:eastAsia="en-GB"/>
        </w:rPr>
      </w:pPr>
      <w:r>
        <w:rPr>
          <w:noProof/>
          <w:lang w:val="nb-NO" w:eastAsia="nb-NO"/>
        </w:rPr>
        <w:drawing>
          <wp:anchor distT="0" distB="0" distL="114300" distR="114300" simplePos="0" relativeHeight="251683328" behindDoc="1" locked="0" layoutInCell="1" allowOverlap="1">
            <wp:simplePos x="0" y="0"/>
            <wp:positionH relativeFrom="column">
              <wp:posOffset>17145</wp:posOffset>
            </wp:positionH>
            <wp:positionV relativeFrom="paragraph">
              <wp:posOffset>24130</wp:posOffset>
            </wp:positionV>
            <wp:extent cx="5273675" cy="2338705"/>
            <wp:effectExtent l="19050" t="0" r="3175" b="0"/>
            <wp:wrapTight wrapText="bothSides">
              <wp:wrapPolygon edited="0">
                <wp:start x="-78" y="0"/>
                <wp:lineTo x="-78" y="21465"/>
                <wp:lineTo x="21613" y="21465"/>
                <wp:lineTo x="21613" y="0"/>
                <wp:lineTo x="-78" y="0"/>
              </wp:wrapPolygon>
            </wp:wrapTight>
            <wp:docPr id="10" name="Bild 3" descr="P:\LU_2011_ESPON_TerrEvi_100269\03_Project development\WorkinProgress_FactSheets\Factsheets_CBC_neu\TL_CBC3\Denmark-Sweden-Norwa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Denmark-Sweden-Norway 3.png"/>
                    <pic:cNvPicPr>
                      <a:picLocks noChangeAspect="1" noChangeArrowheads="1"/>
                    </pic:cNvPicPr>
                  </pic:nvPicPr>
                  <pic:blipFill>
                    <a:blip r:embed="rId21" cstate="print"/>
                    <a:srcRect/>
                    <a:stretch>
                      <a:fillRect/>
                    </a:stretch>
                  </pic:blipFill>
                  <pic:spPr bwMode="auto">
                    <a:xfrm>
                      <a:off x="0" y="0"/>
                      <a:ext cx="5273675" cy="2338705"/>
                    </a:xfrm>
                    <a:prstGeom prst="rect">
                      <a:avLst/>
                    </a:prstGeom>
                    <a:noFill/>
                    <a:ln w="9525">
                      <a:noFill/>
                      <a:miter lim="800000"/>
                      <a:headEnd/>
                      <a:tailEnd/>
                    </a:ln>
                  </pic:spPr>
                </pic:pic>
              </a:graphicData>
            </a:graphic>
          </wp:anchor>
        </w:drawing>
      </w:r>
      <w:r w:rsidR="00AF1548">
        <w:rPr>
          <w:noProof/>
          <w:lang w:eastAsia="en-GB"/>
        </w:rPr>
        <w:t>As far as the employment situation is concerned, the CBC area performs generally better than</w:t>
      </w:r>
      <w:r w:rsidR="00E90DDF">
        <w:rPr>
          <w:noProof/>
          <w:lang w:eastAsia="en-GB"/>
        </w:rPr>
        <w:t xml:space="preserve"> the EU-27+4 or other CBC areas according to the three selected indicators. The programme area is characterised by lower-level of long-term unemployment and the same rate of people at risk of poverty as Denmark. The CBC region’s rate of long-term unemployed and rate of people at risk of poverty are slightly higher than that of Norway. At the same time the CBC area counts relatively more unemployed people, but relatively fewer people at risk of poverty than Sweden in general. The level of persons (aged 20-64) with upper secondary or tertiary education attainment is the same as in Norway and Sweden, and higher than in Denmark.</w:t>
      </w:r>
    </w:p>
    <w:p w:rsidR="002B0162" w:rsidRDefault="00F370A5" w:rsidP="00886596">
      <w:pPr>
        <w:spacing w:line="240" w:lineRule="auto"/>
        <w:rPr>
          <w:noProof/>
          <w:lang w:eastAsia="en-GB"/>
        </w:rPr>
      </w:pPr>
      <w:r>
        <w:rPr>
          <w:noProof/>
          <w:lang w:eastAsia="en-GB"/>
        </w:rPr>
        <w:t xml:space="preserve">The employment rate of the Swedish and Danish border-regions of the programme varies (no data are available for Norway). Some of the Danish regions, namely </w:t>
      </w:r>
      <w:r>
        <w:t>Østjylland, Østsjælland</w:t>
      </w:r>
      <w:r>
        <w:rPr>
          <w:noProof/>
          <w:lang w:eastAsia="en-GB"/>
        </w:rPr>
        <w:t xml:space="preserve"> and </w:t>
      </w:r>
      <w:r>
        <w:t>Nordjylland</w:t>
      </w:r>
      <w:r>
        <w:rPr>
          <w:noProof/>
          <w:lang w:eastAsia="en-GB"/>
        </w:rPr>
        <w:t xml:space="preserve"> have higher than average employment rate (and even fall within the upper 25% of all regions) in both the European and national contexts. Other regions have an employment level close to the European (EU-27+4 </w:t>
      </w:r>
      <w:r w:rsidR="002B0162">
        <w:rPr>
          <w:noProof/>
          <w:lang w:eastAsia="en-GB"/>
        </w:rPr>
        <w:t>and all CBC) medians.</w:t>
      </w:r>
    </w:p>
    <w:p w:rsidR="00AF1548" w:rsidRDefault="002B0162" w:rsidP="00AF1548">
      <w:pPr>
        <w:spacing w:after="0" w:line="240" w:lineRule="auto"/>
      </w:pPr>
      <w:r>
        <w:rPr>
          <w:noProof/>
          <w:lang w:eastAsia="en-GB"/>
        </w:rPr>
        <w:t xml:space="preserve">Predications made by the ESPON DEMIFER project on the changes in the European labour force until 2050 vary. On the Swedish side of the border three scenarios predict low to high level of increase in the labour force, </w:t>
      </w:r>
      <w:r w:rsidR="005276AB">
        <w:rPr>
          <w:noProof/>
          <w:lang w:eastAsia="en-GB"/>
        </w:rPr>
        <w:t>and</w:t>
      </w:r>
      <w:r>
        <w:rPr>
          <w:noProof/>
          <w:lang w:eastAsia="en-GB"/>
        </w:rPr>
        <w:t xml:space="preserve"> only the ‘Limited Social Europe’ scenario foresees minor decreas</w:t>
      </w:r>
      <w:r w:rsidR="001160D3">
        <w:rPr>
          <w:noProof/>
          <w:lang w:eastAsia="en-GB"/>
        </w:rPr>
        <w:t>e</w:t>
      </w:r>
      <w:r>
        <w:rPr>
          <w:noProof/>
          <w:lang w:eastAsia="en-GB"/>
        </w:rPr>
        <w:t xml:space="preserve"> in the region of West Sweden (Halland and </w:t>
      </w:r>
      <w:r w:rsidRPr="002B0162">
        <w:rPr>
          <w:noProof/>
          <w:lang w:eastAsia="en-GB"/>
        </w:rPr>
        <w:t>Västra Götaland)</w:t>
      </w:r>
      <w:r>
        <w:rPr>
          <w:noProof/>
          <w:lang w:eastAsia="en-GB"/>
        </w:rPr>
        <w:t>.</w:t>
      </w:r>
      <w:r w:rsidR="007C6ECE">
        <w:rPr>
          <w:noProof/>
          <w:lang w:eastAsia="en-GB"/>
        </w:rPr>
        <w:t xml:space="preserve"> Three out of four scenarios expect mostly medium-level decrease in the labour force until 2050 in the Danish border-regions</w:t>
      </w:r>
      <w:r w:rsidR="00AE0EB3">
        <w:rPr>
          <w:noProof/>
          <w:lang w:eastAsia="en-GB"/>
        </w:rPr>
        <w:t xml:space="preserve"> (except for a minor level increase predicted in the Capital region by the ‘Growing Social Europe’ scenario)</w:t>
      </w:r>
      <w:r w:rsidR="007C6ECE">
        <w:rPr>
          <w:noProof/>
          <w:lang w:eastAsia="en-GB"/>
        </w:rPr>
        <w:t xml:space="preserve">; </w:t>
      </w:r>
      <w:r w:rsidR="00AE0EB3">
        <w:rPr>
          <w:noProof/>
          <w:lang w:eastAsia="en-GB"/>
        </w:rPr>
        <w:t>while</w:t>
      </w:r>
      <w:r w:rsidR="007C6ECE">
        <w:rPr>
          <w:noProof/>
          <w:lang w:eastAsia="en-GB"/>
        </w:rPr>
        <w:t xml:space="preserve"> the ‘Expanding Market Europe’ scenario sees </w:t>
      </w:r>
      <w:r w:rsidR="000B0447">
        <w:rPr>
          <w:noProof/>
          <w:lang w:eastAsia="en-GB"/>
        </w:rPr>
        <w:t xml:space="preserve">the </w:t>
      </w:r>
      <w:r w:rsidR="007C6ECE">
        <w:rPr>
          <w:noProof/>
          <w:lang w:eastAsia="en-GB"/>
        </w:rPr>
        <w:t>labour force to increase</w:t>
      </w:r>
      <w:r w:rsidR="00AE0EB3">
        <w:rPr>
          <w:noProof/>
          <w:lang w:eastAsia="en-GB"/>
        </w:rPr>
        <w:t xml:space="preserve"> to a medium-degree</w:t>
      </w:r>
      <w:r w:rsidR="007C6ECE">
        <w:rPr>
          <w:noProof/>
          <w:lang w:eastAsia="en-GB"/>
        </w:rPr>
        <w:t xml:space="preserve"> in the Capital region (Hovedstaden)</w:t>
      </w:r>
      <w:r w:rsidR="00AE0EB3">
        <w:rPr>
          <w:noProof/>
          <w:lang w:eastAsia="en-GB"/>
        </w:rPr>
        <w:t xml:space="preserve"> and increase slightly also in the region of Zealand (</w:t>
      </w:r>
      <w:r w:rsidR="00AE0EB3">
        <w:t xml:space="preserve">Østsjælland and Vest- og Sydsjælland). Finally, in Norway two scenarios (namely ‘Growing Social Europe’ and ‘Expanding Market Europe’) predict medium to high level increase in the labour force; and other two (namely </w:t>
      </w:r>
      <w:r w:rsidR="001160D3">
        <w:t>the ‘Limited Social Europe’ and ‘Challenged Market Europe’ scenarios) see a minor to medium-level increase in the regions of Aust-Agder, Vest-Agder, Oslo and Akershus, and a small decrease in the region of Sør-Østlandet (Østfold, Buskerud, Vestfold and Telemark).</w:t>
      </w:r>
    </w:p>
    <w:p w:rsidR="00AA127F" w:rsidRDefault="00AA127F" w:rsidP="00AF1548">
      <w:pPr>
        <w:spacing w:after="0" w:line="240" w:lineRule="auto"/>
        <w:rPr>
          <w:noProof/>
          <w:lang w:eastAsia="en-GB"/>
        </w:rPr>
      </w:pPr>
    </w:p>
    <w:p w:rsidR="005A5FC4" w:rsidRPr="00C33A99" w:rsidRDefault="00016B50" w:rsidP="005A5FC4">
      <w:pPr>
        <w:rPr>
          <w:b/>
        </w:rPr>
      </w:pPr>
      <w:r>
        <w:rPr>
          <w:b/>
        </w:rPr>
        <w:t xml:space="preserve">MAP 3 – </w:t>
      </w:r>
      <w:r w:rsidR="00C04A1F" w:rsidRPr="00C33A99">
        <w:rPr>
          <w:b/>
        </w:rPr>
        <w:t>Change in Labour Force 2005-2050 (ESPON DEMIFER project)</w:t>
      </w:r>
      <w:r w:rsidR="002371D8">
        <w:rPr>
          <w:b/>
        </w:rPr>
        <w:t xml:space="preserve"> for the CBC </w:t>
      </w:r>
      <w:r w:rsidR="00853CBB">
        <w:rPr>
          <w:b/>
        </w:rPr>
        <w:t>Öresund – Kattegat – Skagerrak</w:t>
      </w:r>
    </w:p>
    <w:p w:rsidR="0089569C" w:rsidRDefault="0089569C" w:rsidP="0089569C">
      <w:pPr>
        <w:spacing w:after="0" w:line="240" w:lineRule="auto"/>
        <w:rPr>
          <w:noProof/>
          <w:lang w:eastAsia="en-GB"/>
        </w:rPr>
      </w:pPr>
    </w:p>
    <w:p w:rsidR="0089569C" w:rsidRDefault="00D53AA0" w:rsidP="0089569C">
      <w:pPr>
        <w:spacing w:after="0" w:line="240" w:lineRule="auto"/>
        <w:rPr>
          <w:noProof/>
          <w:lang w:eastAsia="en-GB"/>
        </w:rPr>
      </w:pPr>
      <w:r w:rsidRPr="00D53AA0">
        <w:rPr>
          <w:noProof/>
          <w:lang w:val="de-DE" w:eastAsia="de-DE"/>
        </w:rPr>
        <w:pict>
          <v:oval id="_x0000_s1034" style="position:absolute;left:0;text-align:left;margin-left:300pt;margin-top:268.8pt;width:31.8pt;height:41.35pt;rotation:-1814385fd;z-index:251678208" filled="f" strokecolor="#0070c0" strokeweight="2pt"/>
        </w:pict>
      </w:r>
      <w:r w:rsidRPr="00D53AA0">
        <w:rPr>
          <w:noProof/>
          <w:lang w:val="de-DE" w:eastAsia="de-DE"/>
        </w:rPr>
        <w:pict>
          <v:oval id="_x0000_s1033" style="position:absolute;left:0;text-align:left;margin-left:96.3pt;margin-top:268.8pt;width:31.8pt;height:41.35pt;rotation:-1814385fd;z-index:251677184" filled="f" strokecolor="#0070c0" strokeweight="2pt"/>
        </w:pict>
      </w:r>
      <w:r w:rsidRPr="00D53AA0">
        <w:rPr>
          <w:noProof/>
          <w:lang w:val="de-DE" w:eastAsia="de-DE"/>
        </w:rPr>
        <w:pict>
          <v:oval id="_x0000_s1032" style="position:absolute;left:0;text-align:left;margin-left:295.55pt;margin-top:63.4pt;width:31.8pt;height:41.35pt;rotation:-1814385fd;z-index:251676160" filled="f" strokecolor="#0070c0" strokeweight="2pt"/>
        </w:pict>
      </w:r>
      <w:r w:rsidRPr="00D53AA0">
        <w:rPr>
          <w:noProof/>
          <w:lang w:val="de-DE" w:eastAsia="de-DE"/>
        </w:rPr>
        <w:pict>
          <v:oval id="_x0000_s1031" style="position:absolute;left:0;text-align:left;margin-left:96.3pt;margin-top:62.35pt;width:31.8pt;height:41.35pt;rotation:-1814385fd;z-index:251675136" filled="f" strokecolor="#0070c0" strokeweight="2pt"/>
        </w:pict>
      </w:r>
      <w:r w:rsidR="00B12BD1">
        <w:rPr>
          <w:noProof/>
          <w:lang w:val="nb-NO" w:eastAsia="nb-NO"/>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FD4E3A" w:rsidRDefault="00FD4E3A">
      <w:pPr>
        <w:spacing w:after="0" w:line="240" w:lineRule="auto"/>
        <w:jc w:val="left"/>
        <w:rPr>
          <w:noProof/>
          <w:lang w:eastAsia="en-GB"/>
        </w:rPr>
      </w:pPr>
      <w:r>
        <w:rPr>
          <w:noProof/>
          <w:lang w:eastAsia="en-GB"/>
        </w:rPr>
        <w:br w:type="page"/>
      </w:r>
    </w:p>
    <w:p w:rsidR="00253237" w:rsidRDefault="00FD4E3A" w:rsidP="0037366C">
      <w:pPr>
        <w:rPr>
          <w:noProof/>
          <w:lang w:eastAsia="en-GB"/>
        </w:rPr>
      </w:pPr>
      <w:r w:rsidRPr="00891092">
        <w:rPr>
          <w:b/>
        </w:rPr>
        <w:t>BOX</w:t>
      </w:r>
      <w:r w:rsidR="0054220D" w:rsidRPr="00891092">
        <w:rPr>
          <w:b/>
        </w:rPr>
        <w:t>-</w:t>
      </w:r>
      <w:r w:rsidRPr="00891092">
        <w:rPr>
          <w:b/>
        </w:rPr>
        <w:t>PLOT</w:t>
      </w:r>
      <w:r w:rsidR="00016B50" w:rsidRPr="00891092">
        <w:rPr>
          <w:b/>
        </w:rPr>
        <w:t xml:space="preserve"> 2</w:t>
      </w:r>
      <w:r w:rsidRPr="00891092">
        <w:rPr>
          <w:b/>
        </w:rPr>
        <w:t xml:space="preserve"> – Employment rate 2010</w:t>
      </w:r>
      <w:r w:rsidR="002371D8" w:rsidRPr="00891092">
        <w:rPr>
          <w:b/>
        </w:rPr>
        <w:t xml:space="preserve"> within the CBC </w:t>
      </w:r>
      <w:r w:rsidR="00853CBB">
        <w:rPr>
          <w:b/>
        </w:rPr>
        <w:t>Öresund – Kattegat – Skagerrak</w:t>
      </w:r>
    </w:p>
    <w:p w:rsidR="00383954" w:rsidRDefault="00891092" w:rsidP="00FD4E3A">
      <w:pPr>
        <w:spacing w:after="0" w:line="240" w:lineRule="auto"/>
        <w:jc w:val="left"/>
        <w:rPr>
          <w:noProof/>
          <w:lang w:eastAsia="en-GB"/>
        </w:rPr>
      </w:pPr>
      <w:r>
        <w:rPr>
          <w:noProof/>
          <w:lang w:val="nb-NO" w:eastAsia="nb-NO"/>
        </w:rPr>
        <w:drawing>
          <wp:inline distT="0" distB="0" distL="0" distR="0">
            <wp:extent cx="5272405" cy="4215765"/>
            <wp:effectExtent l="19050" t="0" r="4445" b="0"/>
            <wp:docPr id="13" name="Bild 2" descr="C:\Users\pucher.METIS-VIENNA\Desktop\boxplots\Öresund - Kattegatt - Skagerrak\employmen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cher.METIS-VIENNA\Desktop\boxplots\Öresund - Kattegatt - Skagerrak\employment0.jpg"/>
                    <pic:cNvPicPr>
                      <a:picLocks noChangeAspect="1" noChangeArrowheads="1"/>
                    </pic:cNvPicPr>
                  </pic:nvPicPr>
                  <pic:blipFill>
                    <a:blip r:embed="rId23" cstate="print"/>
                    <a:srcRect/>
                    <a:stretch>
                      <a:fillRect/>
                    </a:stretch>
                  </pic:blipFill>
                  <pic:spPr bwMode="auto">
                    <a:xfrm>
                      <a:off x="0" y="0"/>
                      <a:ext cx="5272405" cy="4215765"/>
                    </a:xfrm>
                    <a:prstGeom prst="rect">
                      <a:avLst/>
                    </a:prstGeom>
                    <a:noFill/>
                    <a:ln w="9525">
                      <a:noFill/>
                      <a:miter lim="800000"/>
                      <a:headEnd/>
                      <a:tailEnd/>
                    </a:ln>
                  </pic:spPr>
                </pic:pic>
              </a:graphicData>
            </a:graphic>
          </wp:inline>
        </w:drawing>
      </w:r>
    </w:p>
    <w:p w:rsidR="00891092" w:rsidRDefault="00891092"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445ABE">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9B5359" w:rsidRDefault="005761A6" w:rsidP="005761A6">
      <w:pPr>
        <w:pStyle w:val="Overskrift1"/>
      </w:pPr>
      <w:r w:rsidRPr="009B5359">
        <w:t xml:space="preserve">Territorial factors of </w:t>
      </w:r>
      <w:r w:rsidR="009B5359" w:rsidRPr="009B5359">
        <w:t>interest for the programme area</w:t>
      </w:r>
    </w:p>
    <w:p w:rsidR="009B5359" w:rsidRDefault="009B5359" w:rsidP="009B5359">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9B5359" w:rsidRDefault="009B5359" w:rsidP="009B5359">
      <w:r>
        <w:t xml:space="preserve">In a European perspective, the programme area is mainly characterised by a composition of rural regions and intermediate regions (in-between rural and urban) and the urban regions of Oslo and Copenhagen. Some of the Danish and Norwegian regions are also characterised as remote. The urban centres in the programme area include e.g. Oslo, Gothenburg, Malmö-Lund, Copenhagen, Aarhus, Aalborg, and Kristiansand. </w:t>
      </w:r>
    </w:p>
    <w:p w:rsidR="009B5359" w:rsidRDefault="009B5359" w:rsidP="009B5359">
      <w:r>
        <w:t>Compared to most other cross-border programme areas, the programme area is not a continuous land-area but divided into several parts by the sea. Both the mix of different types of regions from urban to remote rural and the separations by the sea come with a number of distinct development features, as does the presence of capital city regions such as Oslo and Copenhagen.</w:t>
      </w:r>
    </w:p>
    <w:p w:rsidR="009B5359" w:rsidRDefault="009B5359" w:rsidP="009B5359">
      <w:r>
        <w:t xml:space="preserve">This can e.g. be noted with regard to the multimodal accessibility. Most parts of the programme areas have below average European multimodal accessibility. Only those areas with good access to a larger international airport have above average accessibility. </w:t>
      </w:r>
    </w:p>
    <w:p w:rsidR="009B5359" w:rsidRDefault="009B5359" w:rsidP="009B5359">
      <w:r>
        <w:t xml:space="preserve">As regards geographical specificities, the programme area is largely characterised as coastal including a number of islands. </w:t>
      </w:r>
      <w:r w:rsidRPr="0032010C">
        <w:t>ESPON GEOSPECS has developed a nexus model</w:t>
      </w:r>
      <w:r>
        <w:t>s</w:t>
      </w:r>
      <w:r w:rsidRPr="0032010C">
        <w:t xml:space="preserve"> for </w:t>
      </w:r>
      <w:r>
        <w:t xml:space="preserve">coastal </w:t>
      </w:r>
      <w:r w:rsidRPr="0032010C">
        <w:t>regions</w:t>
      </w:r>
      <w:r>
        <w:t xml:space="preserve"> and islands </w:t>
      </w:r>
      <w:r w:rsidRPr="0032010C">
        <w:t>linking defining features via intermediary process to development challenges and opportuni</w:t>
      </w:r>
      <w:r>
        <w:t>ties. The below figure is an example for coastal areas. The</w:t>
      </w:r>
      <w:r w:rsidRPr="0032010C">
        <w:t>s</w:t>
      </w:r>
      <w:r>
        <w:t>e</w:t>
      </w:r>
      <w:r w:rsidRPr="0032010C">
        <w:t xml:space="preserve"> model</w:t>
      </w:r>
      <w:r>
        <w:t>s</w:t>
      </w:r>
      <w:r w:rsidRPr="0032010C">
        <w:t xml:space="preserve"> can be of interest </w:t>
      </w:r>
      <w:r>
        <w:t xml:space="preserve">also </w:t>
      </w:r>
      <w:r w:rsidRPr="0032010C">
        <w:t xml:space="preserve">for further developing the discussion about the challenges and opportunities in the programme area. </w:t>
      </w:r>
    </w:p>
    <w:p w:rsidR="009B5359" w:rsidRDefault="009B5359" w:rsidP="009B5359">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9B5359" w:rsidRDefault="009B5359" w:rsidP="009B5359">
      <w:pPr>
        <w:shd w:val="clear" w:color="auto" w:fill="F2F2F2" w:themeFill="background1" w:themeFillShade="F2"/>
        <w:spacing w:after="0" w:line="240" w:lineRule="auto"/>
        <w:jc w:val="center"/>
        <w:rPr>
          <w:rFonts w:cs="Calibri"/>
          <w:sz w:val="18"/>
          <w:szCs w:val="20"/>
          <w:lang w:eastAsia="fr-FR"/>
        </w:rPr>
      </w:pPr>
      <w:r>
        <w:rPr>
          <w:noProof/>
          <w:lang w:val="nb-NO" w:eastAsia="nb-NO"/>
        </w:rPr>
        <w:drawing>
          <wp:inline distT="0" distB="0" distL="0" distR="0">
            <wp:extent cx="5278755" cy="3053055"/>
            <wp:effectExtent l="25400" t="0" r="4445"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9B5359" w:rsidRPr="00AC0338" w:rsidRDefault="009B5359" w:rsidP="009B5359">
      <w:pPr>
        <w:shd w:val="clear" w:color="auto" w:fill="F2F2F2" w:themeFill="background1" w:themeFillShade="F2"/>
        <w:spacing w:after="0" w:line="240" w:lineRule="auto"/>
        <w:jc w:val="center"/>
        <w:rPr>
          <w:rFonts w:cs="Calibri"/>
          <w:sz w:val="18"/>
          <w:szCs w:val="20"/>
          <w:lang w:eastAsia="fr-FR"/>
        </w:rPr>
      </w:pPr>
    </w:p>
    <w:p w:rsidR="009B5359" w:rsidRPr="005A5FC4" w:rsidRDefault="009B5359" w:rsidP="009B5359"/>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853CBB">
        <w:rPr>
          <w:b/>
        </w:rPr>
        <w:t>Öresund – Kattegat – Skagerrak</w:t>
      </w:r>
    </w:p>
    <w:p w:rsidR="0089569C" w:rsidRDefault="0089569C" w:rsidP="0089569C">
      <w:pPr>
        <w:spacing w:after="0" w:line="240" w:lineRule="auto"/>
        <w:jc w:val="left"/>
        <w:rPr>
          <w:noProof/>
          <w:lang w:eastAsia="en-GB"/>
        </w:rPr>
      </w:pPr>
    </w:p>
    <w:p w:rsidR="0089569C" w:rsidRDefault="00D53AA0" w:rsidP="0089569C">
      <w:pPr>
        <w:spacing w:after="0" w:line="240" w:lineRule="auto"/>
        <w:jc w:val="left"/>
        <w:rPr>
          <w:noProof/>
          <w:lang w:eastAsia="en-GB"/>
        </w:rPr>
      </w:pPr>
      <w:r w:rsidRPr="00D53AA0">
        <w:rPr>
          <w:noProof/>
          <w:lang w:val="de-DE" w:eastAsia="de-DE"/>
        </w:rPr>
        <w:pict>
          <v:oval id="_x0000_s1035" style="position:absolute;margin-left:165.05pt;margin-top:124.5pt;width:56.5pt;height:73.5pt;rotation:-1814385fd;z-index:251679232" filled="f" strokecolor="#0070c0" strokeweight="2pt"/>
        </w:pict>
      </w:r>
      <w:r w:rsidR="00A31FFF">
        <w:rPr>
          <w:noProof/>
          <w:lang w:val="nb-NO" w:eastAsia="nb-NO"/>
        </w:rPr>
        <w:drawing>
          <wp:inline distT="0" distB="0" distL="0" distR="0">
            <wp:extent cx="5278755" cy="721406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48700B" w:rsidRDefault="0048700B" w:rsidP="0048700B">
      <w:pPr>
        <w:rPr>
          <w:i/>
        </w:rPr>
      </w:pPr>
    </w:p>
    <w:p w:rsidR="0048700B" w:rsidRPr="0085195F" w:rsidRDefault="0048700B" w:rsidP="0048700B">
      <w:pPr>
        <w:jc w:val="right"/>
        <w:rPr>
          <w:i/>
        </w:rPr>
      </w:pPr>
      <w:r w:rsidRPr="0085195F">
        <w:rPr>
          <w:i/>
        </w:rPr>
        <w:t>(Accessible=close to a city)</w:t>
      </w: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853CBB">
        <w:rPr>
          <w:b/>
        </w:rPr>
        <w:t>Öresund – Kattegat – Skagerrak</w:t>
      </w:r>
    </w:p>
    <w:p w:rsidR="00540004" w:rsidRPr="00021CAB" w:rsidRDefault="00540004" w:rsidP="00540004">
      <w:pPr>
        <w:spacing w:after="240"/>
        <w:rPr>
          <w:i/>
        </w:rPr>
      </w:pPr>
      <w:r w:rsidRPr="00021CAB">
        <w:rPr>
          <w:i/>
        </w:rPr>
        <w:t>“Potential Accessibility Multimodal” scores accessibility of NUTS 3 regions by road, rail and air relative to the European average in an Accessibility Index.</w:t>
      </w:r>
    </w:p>
    <w:p w:rsidR="0089569C" w:rsidRDefault="00D53AA0" w:rsidP="0089569C">
      <w:pPr>
        <w:spacing w:after="0" w:line="240" w:lineRule="auto"/>
        <w:jc w:val="left"/>
        <w:rPr>
          <w:noProof/>
          <w:lang w:eastAsia="en-GB"/>
        </w:rPr>
      </w:pPr>
      <w:r w:rsidRPr="00D53AA0">
        <w:rPr>
          <w:noProof/>
          <w:lang w:val="de-DE" w:eastAsia="de-DE"/>
        </w:rPr>
        <w:pict>
          <v:oval id="_x0000_s1036" style="position:absolute;margin-left:159.65pt;margin-top:120.7pt;width:62.95pt;height:81.9pt;rotation:-1814385fd;z-index:251680256" filled="f" strokecolor="#0070c0" strokeweight="2pt"/>
        </w:pict>
      </w:r>
      <w:r w:rsidR="00B12BD1">
        <w:rPr>
          <w:noProof/>
          <w:lang w:val="nb-NO" w:eastAsia="nb-NO"/>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9B5359" w:rsidRDefault="005A5FC4" w:rsidP="0019394E">
      <w:pPr>
        <w:pStyle w:val="Overskrift1"/>
      </w:pPr>
      <w:r w:rsidRPr="009B5359">
        <w:t>Recommended ESPON reading</w:t>
      </w:r>
    </w:p>
    <w:p w:rsidR="009B5359" w:rsidRDefault="009B5359" w:rsidP="009B5359">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9B5359" w:rsidRDefault="009B5359" w:rsidP="009B5359">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9073"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419"/>
        <w:gridCol w:w="1559"/>
        <w:gridCol w:w="6095"/>
      </w:tblGrid>
      <w:tr w:rsidR="009B5359" w:rsidRPr="00A0472D" w:rsidTr="00F13E7E">
        <w:trPr>
          <w:trHeight w:val="203"/>
        </w:trPr>
        <w:tc>
          <w:tcPr>
            <w:tcW w:w="1419" w:type="dxa"/>
            <w:shd w:val="clear" w:color="auto" w:fill="auto"/>
          </w:tcPr>
          <w:p w:rsidR="009B5359" w:rsidRPr="00A0472D" w:rsidRDefault="009B5359" w:rsidP="00F13E7E">
            <w:pPr>
              <w:spacing w:after="0" w:line="20" w:lineRule="atLeast"/>
              <w:rPr>
                <w:b/>
                <w:sz w:val="18"/>
                <w:szCs w:val="18"/>
              </w:rPr>
            </w:pPr>
            <w:r w:rsidRPr="00A0472D">
              <w:rPr>
                <w:b/>
                <w:sz w:val="18"/>
                <w:szCs w:val="18"/>
              </w:rPr>
              <w:t>ESPON study</w:t>
            </w:r>
          </w:p>
        </w:tc>
        <w:tc>
          <w:tcPr>
            <w:tcW w:w="1559" w:type="dxa"/>
            <w:shd w:val="clear" w:color="auto" w:fill="auto"/>
          </w:tcPr>
          <w:p w:rsidR="009B5359" w:rsidRPr="00A0472D" w:rsidRDefault="009B5359" w:rsidP="00F13E7E">
            <w:pPr>
              <w:spacing w:after="0" w:line="20" w:lineRule="atLeast"/>
              <w:rPr>
                <w:b/>
                <w:sz w:val="18"/>
                <w:szCs w:val="18"/>
              </w:rPr>
            </w:pPr>
            <w:r w:rsidRPr="00A0472D">
              <w:rPr>
                <w:b/>
                <w:sz w:val="18"/>
                <w:szCs w:val="18"/>
              </w:rPr>
              <w:t>Topic</w:t>
            </w:r>
          </w:p>
        </w:tc>
        <w:tc>
          <w:tcPr>
            <w:tcW w:w="6095" w:type="dxa"/>
            <w:shd w:val="clear" w:color="auto" w:fill="auto"/>
          </w:tcPr>
          <w:p w:rsidR="009B5359" w:rsidRPr="00A0472D" w:rsidRDefault="009B5359" w:rsidP="00F13E7E">
            <w:pPr>
              <w:spacing w:after="0" w:line="20" w:lineRule="atLeast"/>
              <w:rPr>
                <w:b/>
                <w:sz w:val="18"/>
                <w:szCs w:val="18"/>
              </w:rPr>
            </w:pPr>
            <w:r w:rsidRPr="00A0472D">
              <w:rPr>
                <w:b/>
                <w:sz w:val="18"/>
                <w:szCs w:val="18"/>
              </w:rPr>
              <w:t>Content</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jc w:val="left"/>
              <w:rPr>
                <w:rFonts w:cs="Calibri"/>
                <w:sz w:val="16"/>
                <w:szCs w:val="18"/>
                <w:lang w:eastAsia="fr-FR"/>
              </w:rPr>
            </w:pPr>
            <w:r w:rsidRPr="00947BA1">
              <w:rPr>
                <w:rFonts w:cs="Calibri"/>
                <w:sz w:val="16"/>
                <w:szCs w:val="18"/>
                <w:lang w:eastAsia="fr-FR"/>
              </w:rPr>
              <w:t xml:space="preserve">EDORA </w:t>
            </w:r>
          </w:p>
        </w:tc>
        <w:tc>
          <w:tcPr>
            <w:tcW w:w="1559"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Rural areas</w:t>
            </w:r>
          </w:p>
        </w:tc>
        <w:tc>
          <w:tcPr>
            <w:tcW w:w="6095"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 xml:space="preserve">It </w:t>
            </w:r>
            <w:r>
              <w:rPr>
                <w:rFonts w:cs="Calibri"/>
                <w:sz w:val="16"/>
                <w:szCs w:val="18"/>
                <w:lang w:eastAsia="fr-FR"/>
              </w:rPr>
              <w:t>describes</w:t>
            </w:r>
            <w:r w:rsidRPr="00947BA1">
              <w:rPr>
                <w:rFonts w:cs="Calibri"/>
                <w:sz w:val="16"/>
                <w:szCs w:val="18"/>
                <w:lang w:eastAsia="fr-FR"/>
              </w:rPr>
              <w:t xml:space="preserve"> the opportunities of rural areas (see maps in Appendix 1).</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jc w:val="left"/>
              <w:rPr>
                <w:rFonts w:cs="Calibri"/>
                <w:sz w:val="16"/>
                <w:szCs w:val="18"/>
                <w:highlight w:val="yellow"/>
                <w:lang w:eastAsia="fr-FR"/>
              </w:rPr>
            </w:pPr>
            <w:r w:rsidRPr="00947BA1">
              <w:rPr>
                <w:rFonts w:cs="Calibri"/>
                <w:sz w:val="16"/>
                <w:szCs w:val="18"/>
                <w:lang w:eastAsia="fr-FR"/>
              </w:rPr>
              <w:t>CLIMATE</w:t>
            </w:r>
          </w:p>
        </w:tc>
        <w:tc>
          <w:tcPr>
            <w:tcW w:w="1559" w:type="dxa"/>
            <w:shd w:val="clear" w:color="auto" w:fill="FFFFFF" w:themeFill="background1"/>
          </w:tcPr>
          <w:p w:rsidR="009B5359" w:rsidRPr="00947BA1" w:rsidRDefault="009B5359" w:rsidP="00F13E7E">
            <w:pPr>
              <w:spacing w:after="0" w:line="20" w:lineRule="atLeast"/>
              <w:rPr>
                <w:rFonts w:cs="Calibri"/>
                <w:sz w:val="16"/>
                <w:szCs w:val="18"/>
                <w:highlight w:val="yellow"/>
                <w:lang w:eastAsia="fr-FR"/>
              </w:rPr>
            </w:pPr>
            <w:r w:rsidRPr="00947BA1">
              <w:rPr>
                <w:rFonts w:cs="Calibri"/>
                <w:sz w:val="16"/>
                <w:szCs w:val="18"/>
                <w:lang w:eastAsia="fr-FR"/>
              </w:rPr>
              <w:t>Climate change</w:t>
            </w:r>
          </w:p>
        </w:tc>
        <w:tc>
          <w:tcPr>
            <w:tcW w:w="6095" w:type="dxa"/>
            <w:shd w:val="clear" w:color="auto" w:fill="FFFFFF" w:themeFill="background1"/>
          </w:tcPr>
          <w:p w:rsidR="009B5359" w:rsidRPr="00947BA1" w:rsidRDefault="009B5359" w:rsidP="00F13E7E">
            <w:pPr>
              <w:spacing w:after="0" w:line="20" w:lineRule="atLeast"/>
              <w:rPr>
                <w:rFonts w:cs="Calibri"/>
                <w:sz w:val="16"/>
                <w:szCs w:val="18"/>
                <w:highlight w:val="yellow"/>
                <w:lang w:eastAsia="fr-FR"/>
              </w:rPr>
            </w:pPr>
            <w:r w:rsidRPr="00947BA1">
              <w:rPr>
                <w:rFonts w:cs="Calibri"/>
                <w:sz w:val="16"/>
                <w:szCs w:val="18"/>
                <w:lang w:eastAsia="fr-FR"/>
              </w:rPr>
              <w:t>It analyses the impact of climate change (see from map 1 to 23).</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jc w:val="left"/>
              <w:rPr>
                <w:sz w:val="16"/>
                <w:szCs w:val="18"/>
              </w:rPr>
            </w:pPr>
            <w:r w:rsidRPr="00947BA1">
              <w:rPr>
                <w:sz w:val="16"/>
                <w:szCs w:val="18"/>
              </w:rPr>
              <w:t>TIPTAP</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Territorial impact assessment</w:t>
            </w:r>
          </w:p>
        </w:tc>
        <w:tc>
          <w:tcPr>
            <w:tcW w:w="6095"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 xml:space="preserve">It provides a tool for the ex-ante assessment of territorial impacts of policies to deliver evidence on the territorial impact of policies (see from map 2.3.1 to 2.3.9). </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jc w:val="left"/>
              <w:rPr>
                <w:rFonts w:cs="Calibri"/>
                <w:sz w:val="16"/>
                <w:szCs w:val="18"/>
                <w:lang w:eastAsia="fr-FR"/>
              </w:rPr>
            </w:pPr>
            <w:r w:rsidRPr="00947BA1">
              <w:rPr>
                <w:rFonts w:cs="Calibri"/>
                <w:sz w:val="16"/>
                <w:szCs w:val="18"/>
                <w:lang w:eastAsia="fr-FR"/>
              </w:rPr>
              <w:t xml:space="preserve">CAEE </w:t>
            </w:r>
          </w:p>
        </w:tc>
        <w:tc>
          <w:tcPr>
            <w:tcW w:w="1559"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Agglomerati-on economies</w:t>
            </w:r>
          </w:p>
        </w:tc>
        <w:tc>
          <w:tcPr>
            <w:tcW w:w="6095"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 xml:space="preserve">It aims at a better understanding of the economic costs and benefits of large urban agglomerations (see figure.1). </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 xml:space="preserve">TRANSMEC </w:t>
            </w:r>
          </w:p>
        </w:tc>
        <w:tc>
          <w:tcPr>
            <w:tcW w:w="1559"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European cooperation</w:t>
            </w:r>
          </w:p>
        </w:tc>
        <w:tc>
          <w:tcPr>
            <w:tcW w:w="6095" w:type="dxa"/>
            <w:shd w:val="clear" w:color="auto" w:fill="FFFFFF" w:themeFill="background1"/>
          </w:tcPr>
          <w:p w:rsidR="009B5359" w:rsidRPr="00947BA1" w:rsidRDefault="009B5359" w:rsidP="00F13E7E">
            <w:pPr>
              <w:spacing w:after="0" w:line="20" w:lineRule="atLeast"/>
              <w:rPr>
                <w:rFonts w:cs="Calibri"/>
                <w:sz w:val="16"/>
                <w:szCs w:val="18"/>
                <w:lang w:eastAsia="fr-FR"/>
              </w:rPr>
            </w:pPr>
            <w:r w:rsidRPr="00947BA1">
              <w:rPr>
                <w:rFonts w:cs="Calibri"/>
                <w:sz w:val="16"/>
                <w:szCs w:val="18"/>
                <w:lang w:eastAsia="fr-FR"/>
              </w:rPr>
              <w:t xml:space="preserve">It describes the usefulness of ESPON to territorial cooperation programmes (see map 27, from map 36 to 39). </w:t>
            </w:r>
          </w:p>
        </w:tc>
      </w:tr>
      <w:tr w:rsidR="009B5359" w:rsidRPr="00947BA1" w:rsidTr="00F13E7E">
        <w:trPr>
          <w:trHeight w:val="274"/>
        </w:trPr>
        <w:tc>
          <w:tcPr>
            <w:tcW w:w="1419" w:type="dxa"/>
            <w:tcBorders>
              <w:bottom w:val="single" w:sz="4" w:space="0" w:color="auto"/>
            </w:tcBorders>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 xml:space="preserve">SEMIGRA </w:t>
            </w:r>
          </w:p>
        </w:tc>
        <w:tc>
          <w:tcPr>
            <w:tcW w:w="1559" w:type="dxa"/>
            <w:tcBorders>
              <w:bottom w:val="single" w:sz="4" w:space="0" w:color="auto"/>
            </w:tcBorders>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Rural migration</w:t>
            </w:r>
          </w:p>
        </w:tc>
        <w:tc>
          <w:tcPr>
            <w:tcW w:w="6095" w:type="dxa"/>
            <w:tcBorders>
              <w:bottom w:val="single" w:sz="4" w:space="0" w:color="auto"/>
            </w:tcBorders>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It describes migration in rural regions and development strategies (see map 1, 4 and 5).</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KIT</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Innovation</w:t>
            </w:r>
          </w:p>
        </w:tc>
        <w:tc>
          <w:tcPr>
            <w:tcW w:w="6095" w:type="dxa"/>
            <w:shd w:val="clear" w:color="auto" w:fill="FFFFFF" w:themeFill="background1"/>
          </w:tcPr>
          <w:p w:rsidR="009B5359" w:rsidRPr="00947BA1" w:rsidRDefault="009B5359" w:rsidP="00F13E7E">
            <w:pPr>
              <w:spacing w:after="0" w:line="20" w:lineRule="atLeast"/>
              <w:rPr>
                <w:rFonts w:cs="Calibri"/>
                <w:color w:val="000000"/>
                <w:sz w:val="16"/>
                <w:szCs w:val="18"/>
                <w:lang w:eastAsia="fr-FR"/>
              </w:rPr>
            </w:pPr>
            <w:r w:rsidRPr="00947BA1">
              <w:rPr>
                <w:rFonts w:cs="Calibri"/>
                <w:color w:val="000000"/>
                <w:sz w:val="16"/>
                <w:szCs w:val="18"/>
                <w:lang w:eastAsia="fr-FR"/>
              </w:rPr>
              <w:t xml:space="preserve">It describes knowledge and innovation economy potentials (see from map 3.1.1 to 4.4.1). </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SGPTD</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Growth poles</w:t>
            </w:r>
          </w:p>
        </w:tc>
        <w:tc>
          <w:tcPr>
            <w:tcW w:w="6095"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 xml:space="preserve">It </w:t>
            </w:r>
            <w:r>
              <w:rPr>
                <w:sz w:val="16"/>
                <w:szCs w:val="18"/>
              </w:rPr>
              <w:t>analyses</w:t>
            </w:r>
            <w:r w:rsidRPr="00947BA1">
              <w:rPr>
                <w:sz w:val="16"/>
                <w:szCs w:val="18"/>
              </w:rPr>
              <w:t xml:space="preserve"> European secondary cities (see from figure 2 to 2.12).</w:t>
            </w:r>
          </w:p>
        </w:tc>
      </w:tr>
      <w:tr w:rsidR="009B5359" w:rsidRPr="00947BA1" w:rsidTr="00F13E7E">
        <w:trPr>
          <w:trHeight w:val="274"/>
        </w:trPr>
        <w:tc>
          <w:tcPr>
            <w:tcW w:w="141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TERCO</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Territorial cooperation</w:t>
            </w:r>
          </w:p>
        </w:tc>
        <w:tc>
          <w:tcPr>
            <w:tcW w:w="6095"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It analyses</w:t>
            </w:r>
            <w:r w:rsidRPr="00947BA1">
              <w:rPr>
                <w:rFonts w:cs="Calibri"/>
                <w:sz w:val="16"/>
                <w:szCs w:val="20"/>
                <w:lang w:eastAsia="fr-FR"/>
              </w:rPr>
              <w:t xml:space="preserve"> Skåne län, Västra Götalands län, Hallands län and all Norwegian NUTS3 </w:t>
            </w:r>
            <w:r w:rsidRPr="00947BA1">
              <w:rPr>
                <w:sz w:val="16"/>
              </w:rPr>
              <w:t>(</w:t>
            </w:r>
            <w:r w:rsidRPr="00947BA1">
              <w:rPr>
                <w:rFonts w:cs="Calibri"/>
                <w:sz w:val="16"/>
                <w:szCs w:val="20"/>
                <w:lang w:eastAsia="fr-FR"/>
              </w:rPr>
              <w:t>see Main and Scientific report).</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 xml:space="preserve">DEMIFER </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Demography</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 xml:space="preserve">It </w:t>
            </w:r>
            <w:r>
              <w:rPr>
                <w:rFonts w:cs="Calibri"/>
                <w:sz w:val="16"/>
                <w:szCs w:val="20"/>
                <w:lang w:eastAsia="fr-FR"/>
              </w:rPr>
              <w:t>analyses</w:t>
            </w:r>
            <w:r w:rsidRPr="00947BA1">
              <w:rPr>
                <w:rFonts w:cs="Calibri"/>
                <w:sz w:val="16"/>
                <w:szCs w:val="20"/>
                <w:lang w:eastAsia="fr-FR"/>
              </w:rPr>
              <w:t xml:space="preserve"> migration and</w:t>
            </w:r>
            <w:r>
              <w:rPr>
                <w:rFonts w:cs="Calibri"/>
                <w:sz w:val="16"/>
                <w:szCs w:val="20"/>
                <w:lang w:eastAsia="fr-FR"/>
              </w:rPr>
              <w:t xml:space="preserve"> </w:t>
            </w:r>
            <w:r w:rsidRPr="00947BA1">
              <w:rPr>
                <w:rFonts w:cs="Calibri"/>
                <w:sz w:val="16"/>
                <w:szCs w:val="20"/>
                <w:lang w:eastAsia="fr-FR"/>
              </w:rPr>
              <w:t xml:space="preserve">the region of Sydsverige (Annex D12/10).  </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ReRisk</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Energy</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 xml:space="preserve">It analyses clean and sustainable energies and the Danish Island of Samsø and Kalundborg and Landskrona (SE). </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ATTREG</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Attractiveness</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describes the economic impact of European regions and cities (see the case of the island of Bornholm,Annex 4/2).</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 xml:space="preserve">EU LUPA </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Land use</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focus on land use and in particular on the Öresund region and the Danish municipalities of Thy and Mors.</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EURO-ISLANDS</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Islands</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describes the Danish Island of Samsø was chosen as a case study (See Annex III to the Final Report).</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 xml:space="preserve">PURR </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Rural regions</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 xml:space="preserve">It explores the potentials of rural areas and medium-sized towns (see the case of the municipality of Notodden). </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 xml:space="preserve">ULYSSES </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Cross-border development</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provides a “reference baseline” for new cross-border spatial development and analyses Öresundskomiteen.</w:t>
            </w:r>
          </w:p>
        </w:tc>
      </w:tr>
      <w:tr w:rsidR="009B5359" w:rsidRPr="00947BA1" w:rsidTr="00F13E7E">
        <w:trPr>
          <w:trHeight w:val="274"/>
        </w:trPr>
        <w:tc>
          <w:tcPr>
            <w:tcW w:w="1419" w:type="dxa"/>
            <w:shd w:val="clear" w:color="auto" w:fill="FFFFFF" w:themeFill="background1"/>
            <w:hideMark/>
          </w:tcPr>
          <w:p w:rsidR="009B5359" w:rsidRPr="00947BA1" w:rsidRDefault="009B5359" w:rsidP="00F13E7E">
            <w:pPr>
              <w:spacing w:after="0" w:line="20" w:lineRule="atLeast"/>
              <w:rPr>
                <w:sz w:val="16"/>
                <w:szCs w:val="18"/>
              </w:rPr>
            </w:pPr>
            <w:r w:rsidRPr="00947BA1">
              <w:rPr>
                <w:sz w:val="16"/>
                <w:szCs w:val="18"/>
              </w:rPr>
              <w:t>RISE</w:t>
            </w:r>
          </w:p>
        </w:tc>
        <w:tc>
          <w:tcPr>
            <w:tcW w:w="1559" w:type="dxa"/>
            <w:shd w:val="clear" w:color="auto" w:fill="FFFFFF" w:themeFill="background1"/>
          </w:tcPr>
          <w:p w:rsidR="009B5359" w:rsidRPr="00947BA1" w:rsidRDefault="009B5359" w:rsidP="00F13E7E">
            <w:pPr>
              <w:spacing w:after="0" w:line="20" w:lineRule="atLeast"/>
              <w:rPr>
                <w:sz w:val="16"/>
                <w:szCs w:val="18"/>
              </w:rPr>
            </w:pPr>
            <w:r w:rsidRPr="00947BA1">
              <w:rPr>
                <w:sz w:val="16"/>
                <w:szCs w:val="18"/>
              </w:rPr>
              <w:t>Integrated strategies</w:t>
            </w:r>
          </w:p>
        </w:tc>
        <w:tc>
          <w:tcPr>
            <w:tcW w:w="6095" w:type="dxa"/>
            <w:shd w:val="clear" w:color="auto" w:fill="FFFFFF" w:themeFill="background1"/>
          </w:tcPr>
          <w:p w:rsidR="009B5359" w:rsidRPr="00947BA1" w:rsidRDefault="009B5359" w:rsidP="00F13E7E">
            <w:pPr>
              <w:spacing w:after="0" w:line="20" w:lineRule="atLeast"/>
              <w:rPr>
                <w:rFonts w:cs="Calibri"/>
                <w:sz w:val="16"/>
                <w:szCs w:val="20"/>
                <w:lang w:eastAsia="fr-FR"/>
              </w:rPr>
            </w:pPr>
            <w:r w:rsidRPr="00947BA1">
              <w:rPr>
                <w:rFonts w:cs="Calibri"/>
                <w:sz w:val="16"/>
                <w:szCs w:val="20"/>
                <w:lang w:eastAsia="fr-FR"/>
              </w:rPr>
              <w:t>It analyses the Regional Integrated Strategies, in particular in the Danish island of Zealand (see Annex 2).</w:t>
            </w:r>
          </w:p>
        </w:tc>
      </w:tr>
    </w:tbl>
    <w:p w:rsidR="009B5359" w:rsidRDefault="009B5359" w:rsidP="009B5359">
      <w:pPr>
        <w:spacing w:before="240"/>
      </w:pPr>
      <w:r>
        <w:t>Furthermore, some of overall ESPON products of particular interest for territorial cooperation are:</w:t>
      </w:r>
    </w:p>
    <w:p w:rsidR="009B5359" w:rsidRDefault="009B5359" w:rsidP="009B5359">
      <w:pPr>
        <w:pStyle w:val="Listeavsnitt"/>
        <w:numPr>
          <w:ilvl w:val="0"/>
          <w:numId w:val="4"/>
        </w:numPr>
      </w:pPr>
      <w:r w:rsidRPr="00112693">
        <w:rPr>
          <w:b/>
        </w:rPr>
        <w:t>ESPON Synthesis report</w:t>
      </w:r>
      <w:r>
        <w:t xml:space="preserve"> “new evidence on smart, sustainable and inclusive territories” provides an easy to read overview on ESPON results available. </w:t>
      </w:r>
    </w:p>
    <w:p w:rsidR="009B5359" w:rsidRDefault="009B5359" w:rsidP="009B5359">
      <w:pPr>
        <w:pStyle w:val="Listeavsnitt"/>
        <w:numPr>
          <w:ilvl w:val="0"/>
          <w:numId w:val="4"/>
        </w:numPr>
      </w:pPr>
      <w:r w:rsidRPr="00112693">
        <w:rPr>
          <w:b/>
        </w:rPr>
        <w:t>ESPON Territorial Observations</w:t>
      </w:r>
      <w:r>
        <w:t xml:space="preserve"> is a publication series, which on a few pages presents policy relevant findings deriving from latest ESPON research. </w:t>
      </w:r>
    </w:p>
    <w:p w:rsidR="009B5359" w:rsidRPr="00A33083" w:rsidRDefault="009B5359" w:rsidP="009B5359">
      <w:pPr>
        <w:pStyle w:val="Listeavsnitt"/>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9B5359" w:rsidRDefault="009B5359" w:rsidP="009B5359">
      <w:pPr>
        <w:pStyle w:val="Listeavsnitt"/>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9B5359" w:rsidRPr="00CD642B" w:rsidRDefault="009B5359" w:rsidP="009B5359">
      <w:pPr>
        <w:pStyle w:val="Listeavsnitt"/>
        <w:numPr>
          <w:ilvl w:val="0"/>
          <w:numId w:val="4"/>
        </w:numPr>
      </w:pPr>
      <w:r w:rsidRPr="00112693">
        <w:rPr>
          <w:b/>
        </w:rPr>
        <w:t>ESPON MapFinder</w:t>
      </w:r>
      <w:r w:rsidRPr="00CD642B">
        <w:t xml:space="preserve"> provides access to the most relevant ESPON maps resulting from ESPON projects and reports. </w:t>
      </w:r>
    </w:p>
    <w:p w:rsidR="009B5359" w:rsidRDefault="009B5359" w:rsidP="009B5359">
      <w:pPr>
        <w:pStyle w:val="Listeavsnitt"/>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B5359" w:rsidRPr="003C631E" w:rsidRDefault="009B5359" w:rsidP="009B5359">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nb-NO" w:eastAsia="nb-NO"/>
        </w:rPr>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D53AA0" w:rsidRPr="00D53AA0">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5276AB" w:rsidRPr="00FB783A" w:rsidRDefault="005276AB"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6FB" w:rsidRDefault="00B326FB">
      <w:r>
        <w:separator/>
      </w:r>
    </w:p>
  </w:endnote>
  <w:endnote w:type="continuationSeparator" w:id="0">
    <w:p w:rsidR="00B326FB" w:rsidRDefault="00B326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Default="00D53AA0" w:rsidP="00BC65E1">
    <w:pPr>
      <w:framePr w:wrap="around" w:vAnchor="text" w:hAnchor="margin" w:xAlign="right" w:y="1"/>
      <w:rPr>
        <w:rStyle w:val="Sidetall"/>
      </w:rPr>
    </w:pPr>
    <w:r>
      <w:rPr>
        <w:rStyle w:val="Sidetall"/>
      </w:rPr>
      <w:fldChar w:fldCharType="begin"/>
    </w:r>
    <w:r w:rsidR="005276AB">
      <w:rPr>
        <w:rStyle w:val="Sidetall"/>
      </w:rPr>
      <w:instrText xml:space="preserve">PAGE  </w:instrText>
    </w:r>
    <w:r>
      <w:rPr>
        <w:rStyle w:val="Sidetall"/>
      </w:rPr>
      <w:fldChar w:fldCharType="separate"/>
    </w:r>
    <w:r w:rsidR="005276AB">
      <w:rPr>
        <w:rStyle w:val="Sidetall"/>
        <w:noProof/>
      </w:rPr>
      <w:t>3</w:t>
    </w:r>
    <w:r>
      <w:rPr>
        <w:rStyle w:val="Sidetall"/>
      </w:rPr>
      <w:fldChar w:fldCharType="end"/>
    </w:r>
  </w:p>
  <w:p w:rsidR="005276AB" w:rsidRDefault="005276AB">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Pr="00A15B61" w:rsidRDefault="00D53AA0" w:rsidP="00BC65E1">
    <w:pPr>
      <w:pStyle w:val="Bunntekst"/>
      <w:framePr w:wrap="around" w:vAnchor="text" w:hAnchor="margin" w:xAlign="right" w:y="1"/>
      <w:rPr>
        <w:rStyle w:val="Sidetall"/>
      </w:rPr>
    </w:pPr>
    <w:r w:rsidRPr="00A15B61">
      <w:rPr>
        <w:rStyle w:val="Sidetall"/>
        <w:szCs w:val="20"/>
      </w:rPr>
      <w:fldChar w:fldCharType="begin"/>
    </w:r>
    <w:r w:rsidR="005276AB">
      <w:rPr>
        <w:rStyle w:val="Sidetall"/>
        <w:szCs w:val="20"/>
      </w:rPr>
      <w:instrText>PAGE</w:instrText>
    </w:r>
    <w:r w:rsidR="005276AB" w:rsidRPr="00A15B61">
      <w:rPr>
        <w:rStyle w:val="Sidetall"/>
        <w:szCs w:val="20"/>
      </w:rPr>
      <w:instrText xml:space="preserve">  </w:instrText>
    </w:r>
    <w:r w:rsidRPr="00A15B61">
      <w:rPr>
        <w:rStyle w:val="Sidetall"/>
        <w:szCs w:val="20"/>
      </w:rPr>
      <w:fldChar w:fldCharType="separate"/>
    </w:r>
    <w:r w:rsidR="00824DE7">
      <w:rPr>
        <w:rStyle w:val="Sidetall"/>
        <w:noProof/>
        <w:szCs w:val="20"/>
      </w:rPr>
      <w:t>1</w:t>
    </w:r>
    <w:r w:rsidRPr="00A15B61">
      <w:rPr>
        <w:rStyle w:val="Sidetall"/>
        <w:szCs w:val="20"/>
      </w:rPr>
      <w:fldChar w:fldCharType="end"/>
    </w:r>
  </w:p>
  <w:p w:rsidR="005276AB" w:rsidRPr="00A15B61" w:rsidRDefault="005276AB" w:rsidP="006A3291">
    <w:pPr>
      <w:pStyle w:val="Bunntekst"/>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Pr="00A15B61" w:rsidRDefault="00D53AA0" w:rsidP="00BC65E1">
    <w:pPr>
      <w:pStyle w:val="Bunntekst"/>
      <w:framePr w:wrap="around" w:vAnchor="text" w:hAnchor="margin" w:xAlign="right" w:y="1"/>
      <w:rPr>
        <w:rStyle w:val="Sidetall"/>
      </w:rPr>
    </w:pPr>
    <w:r w:rsidRPr="00A15B61">
      <w:rPr>
        <w:rStyle w:val="Sidetall"/>
        <w:szCs w:val="20"/>
      </w:rPr>
      <w:fldChar w:fldCharType="begin"/>
    </w:r>
    <w:r w:rsidR="005276AB">
      <w:rPr>
        <w:rStyle w:val="Sidetall"/>
        <w:szCs w:val="20"/>
      </w:rPr>
      <w:instrText>PAGE</w:instrText>
    </w:r>
    <w:r w:rsidR="005276AB" w:rsidRPr="00A15B61">
      <w:rPr>
        <w:rStyle w:val="Sidetall"/>
        <w:szCs w:val="20"/>
      </w:rPr>
      <w:instrText xml:space="preserve">  </w:instrText>
    </w:r>
    <w:r w:rsidRPr="00A15B61">
      <w:rPr>
        <w:rStyle w:val="Sidetall"/>
        <w:szCs w:val="20"/>
      </w:rPr>
      <w:fldChar w:fldCharType="separate"/>
    </w:r>
    <w:r w:rsidR="00824DE7">
      <w:rPr>
        <w:rStyle w:val="Sidetall"/>
        <w:noProof/>
        <w:szCs w:val="20"/>
      </w:rPr>
      <w:t>16</w:t>
    </w:r>
    <w:r w:rsidRPr="00A15B61">
      <w:rPr>
        <w:rStyle w:val="Sidetall"/>
        <w:szCs w:val="20"/>
      </w:rPr>
      <w:fldChar w:fldCharType="end"/>
    </w:r>
  </w:p>
  <w:p w:rsidR="005276AB" w:rsidRPr="00A15B61" w:rsidRDefault="005276AB" w:rsidP="006A3291">
    <w:pPr>
      <w:pStyle w:val="Bunntekst"/>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6FB" w:rsidRDefault="00B326FB">
      <w:r>
        <w:separator/>
      </w:r>
    </w:p>
  </w:footnote>
  <w:footnote w:type="continuationSeparator" w:id="0">
    <w:p w:rsidR="00B326FB" w:rsidRDefault="00B326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Default="00D53AA0">
    <w:pPr>
      <w:pStyle w:val="Topptekst"/>
    </w:pPr>
    <w:r w:rsidRPr="00D53AA0">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5276AB" w:rsidRDefault="005276AB"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5276AB" w:rsidRPr="00721B03" w:rsidRDefault="005276AB"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5276AB">
      <w:rPr>
        <w:noProof/>
        <w:lang w:val="nb-NO" w:eastAsia="nb-NO"/>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6AB" w:rsidRDefault="005276AB">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Arial"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Arial"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Arial"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97A"/>
    <w:rsid w:val="00085BAD"/>
    <w:rsid w:val="00086387"/>
    <w:rsid w:val="000A0B9B"/>
    <w:rsid w:val="000A0F69"/>
    <w:rsid w:val="000A647A"/>
    <w:rsid w:val="000B0447"/>
    <w:rsid w:val="000B3819"/>
    <w:rsid w:val="000B4718"/>
    <w:rsid w:val="000B58AA"/>
    <w:rsid w:val="000B7A7D"/>
    <w:rsid w:val="000B7F4E"/>
    <w:rsid w:val="000C36A1"/>
    <w:rsid w:val="000C4070"/>
    <w:rsid w:val="000C716F"/>
    <w:rsid w:val="000D0D18"/>
    <w:rsid w:val="000D3299"/>
    <w:rsid w:val="000D57C9"/>
    <w:rsid w:val="000D773E"/>
    <w:rsid w:val="000D7CC4"/>
    <w:rsid w:val="000E6CC8"/>
    <w:rsid w:val="000E76EB"/>
    <w:rsid w:val="000F1BA2"/>
    <w:rsid w:val="000F2140"/>
    <w:rsid w:val="00104631"/>
    <w:rsid w:val="00105B9D"/>
    <w:rsid w:val="00112060"/>
    <w:rsid w:val="001120BB"/>
    <w:rsid w:val="00112693"/>
    <w:rsid w:val="001160D3"/>
    <w:rsid w:val="0011785C"/>
    <w:rsid w:val="0012533B"/>
    <w:rsid w:val="001260F4"/>
    <w:rsid w:val="00126FC2"/>
    <w:rsid w:val="00127104"/>
    <w:rsid w:val="00132FDD"/>
    <w:rsid w:val="00133602"/>
    <w:rsid w:val="00134DC7"/>
    <w:rsid w:val="0013600B"/>
    <w:rsid w:val="00137A0B"/>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2F23"/>
    <w:rsid w:val="001F5D67"/>
    <w:rsid w:val="002004FA"/>
    <w:rsid w:val="00200704"/>
    <w:rsid w:val="00206672"/>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4BFE"/>
    <w:rsid w:val="00265996"/>
    <w:rsid w:val="00276DA6"/>
    <w:rsid w:val="00281A82"/>
    <w:rsid w:val="00282854"/>
    <w:rsid w:val="00285BF3"/>
    <w:rsid w:val="002923B9"/>
    <w:rsid w:val="00293ABA"/>
    <w:rsid w:val="00293DE9"/>
    <w:rsid w:val="00294042"/>
    <w:rsid w:val="002949F4"/>
    <w:rsid w:val="002977F3"/>
    <w:rsid w:val="002A0221"/>
    <w:rsid w:val="002A0E97"/>
    <w:rsid w:val="002A15B2"/>
    <w:rsid w:val="002A2C96"/>
    <w:rsid w:val="002A7776"/>
    <w:rsid w:val="002B0162"/>
    <w:rsid w:val="002B1929"/>
    <w:rsid w:val="002B51CA"/>
    <w:rsid w:val="002B71A8"/>
    <w:rsid w:val="002C06ED"/>
    <w:rsid w:val="002C2CBC"/>
    <w:rsid w:val="002C4473"/>
    <w:rsid w:val="002C780D"/>
    <w:rsid w:val="002D1443"/>
    <w:rsid w:val="002D3185"/>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445A4"/>
    <w:rsid w:val="00351147"/>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83954"/>
    <w:rsid w:val="00384F28"/>
    <w:rsid w:val="00385731"/>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35B7"/>
    <w:rsid w:val="004043C4"/>
    <w:rsid w:val="004047DE"/>
    <w:rsid w:val="00404925"/>
    <w:rsid w:val="004054C3"/>
    <w:rsid w:val="0040760B"/>
    <w:rsid w:val="00410A29"/>
    <w:rsid w:val="004122A0"/>
    <w:rsid w:val="00412C19"/>
    <w:rsid w:val="004173E4"/>
    <w:rsid w:val="004177FC"/>
    <w:rsid w:val="00422212"/>
    <w:rsid w:val="0042391C"/>
    <w:rsid w:val="0042468B"/>
    <w:rsid w:val="0042502E"/>
    <w:rsid w:val="00433090"/>
    <w:rsid w:val="004353CB"/>
    <w:rsid w:val="0044029A"/>
    <w:rsid w:val="00443CD7"/>
    <w:rsid w:val="00445A8A"/>
    <w:rsid w:val="00445ABE"/>
    <w:rsid w:val="0044604E"/>
    <w:rsid w:val="00447210"/>
    <w:rsid w:val="00454825"/>
    <w:rsid w:val="00456E90"/>
    <w:rsid w:val="004604F3"/>
    <w:rsid w:val="0046572E"/>
    <w:rsid w:val="00467598"/>
    <w:rsid w:val="00470A8B"/>
    <w:rsid w:val="00472744"/>
    <w:rsid w:val="00473131"/>
    <w:rsid w:val="00475DCB"/>
    <w:rsid w:val="004776E4"/>
    <w:rsid w:val="004778EB"/>
    <w:rsid w:val="00477CEB"/>
    <w:rsid w:val="0048039B"/>
    <w:rsid w:val="004854D1"/>
    <w:rsid w:val="00485672"/>
    <w:rsid w:val="0048700B"/>
    <w:rsid w:val="004900DF"/>
    <w:rsid w:val="004933BE"/>
    <w:rsid w:val="004A0E81"/>
    <w:rsid w:val="004A1DB8"/>
    <w:rsid w:val="004A432C"/>
    <w:rsid w:val="004A4AC7"/>
    <w:rsid w:val="004A52D3"/>
    <w:rsid w:val="004B03FD"/>
    <w:rsid w:val="004B2204"/>
    <w:rsid w:val="004B2360"/>
    <w:rsid w:val="004B2688"/>
    <w:rsid w:val="004B33EC"/>
    <w:rsid w:val="004B3A9D"/>
    <w:rsid w:val="004B48CD"/>
    <w:rsid w:val="004C4307"/>
    <w:rsid w:val="004C462E"/>
    <w:rsid w:val="004C71AB"/>
    <w:rsid w:val="004C764D"/>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04EC"/>
    <w:rsid w:val="00524215"/>
    <w:rsid w:val="00526E5A"/>
    <w:rsid w:val="005276AB"/>
    <w:rsid w:val="005322AA"/>
    <w:rsid w:val="00540004"/>
    <w:rsid w:val="00541834"/>
    <w:rsid w:val="0054220D"/>
    <w:rsid w:val="005423A5"/>
    <w:rsid w:val="005433C5"/>
    <w:rsid w:val="00545F8A"/>
    <w:rsid w:val="005463AC"/>
    <w:rsid w:val="0054773E"/>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5D"/>
    <w:rsid w:val="00597872"/>
    <w:rsid w:val="005A3E20"/>
    <w:rsid w:val="005A5FC4"/>
    <w:rsid w:val="005A73D9"/>
    <w:rsid w:val="005A7DFC"/>
    <w:rsid w:val="005B3722"/>
    <w:rsid w:val="005C108D"/>
    <w:rsid w:val="005C58DE"/>
    <w:rsid w:val="005C5D28"/>
    <w:rsid w:val="005C6D17"/>
    <w:rsid w:val="005D0C21"/>
    <w:rsid w:val="005D1921"/>
    <w:rsid w:val="005D2D0B"/>
    <w:rsid w:val="005D53EE"/>
    <w:rsid w:val="005D621D"/>
    <w:rsid w:val="005D78FE"/>
    <w:rsid w:val="005E463C"/>
    <w:rsid w:val="005E4E4C"/>
    <w:rsid w:val="005E6290"/>
    <w:rsid w:val="005E7552"/>
    <w:rsid w:val="005F24DD"/>
    <w:rsid w:val="005F7BDC"/>
    <w:rsid w:val="0060091E"/>
    <w:rsid w:val="00610DAB"/>
    <w:rsid w:val="0061660C"/>
    <w:rsid w:val="00616DE9"/>
    <w:rsid w:val="0061757F"/>
    <w:rsid w:val="00632676"/>
    <w:rsid w:val="006326AB"/>
    <w:rsid w:val="00633FE2"/>
    <w:rsid w:val="006401ED"/>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114B"/>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237"/>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C6ECE"/>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4DE7"/>
    <w:rsid w:val="00827112"/>
    <w:rsid w:val="00827496"/>
    <w:rsid w:val="008321A8"/>
    <w:rsid w:val="00835D9A"/>
    <w:rsid w:val="00835EF3"/>
    <w:rsid w:val="008419E4"/>
    <w:rsid w:val="00844319"/>
    <w:rsid w:val="008454F5"/>
    <w:rsid w:val="00846CF1"/>
    <w:rsid w:val="00847741"/>
    <w:rsid w:val="00853CBB"/>
    <w:rsid w:val="00853DD7"/>
    <w:rsid w:val="00855241"/>
    <w:rsid w:val="008555CF"/>
    <w:rsid w:val="008566E2"/>
    <w:rsid w:val="00856EFD"/>
    <w:rsid w:val="00857F3C"/>
    <w:rsid w:val="00871019"/>
    <w:rsid w:val="00871839"/>
    <w:rsid w:val="00875551"/>
    <w:rsid w:val="00876AC8"/>
    <w:rsid w:val="008829C7"/>
    <w:rsid w:val="00882F9C"/>
    <w:rsid w:val="00885028"/>
    <w:rsid w:val="00886596"/>
    <w:rsid w:val="00886C11"/>
    <w:rsid w:val="00891092"/>
    <w:rsid w:val="00891455"/>
    <w:rsid w:val="0089569C"/>
    <w:rsid w:val="00895E5B"/>
    <w:rsid w:val="00896802"/>
    <w:rsid w:val="008A3B96"/>
    <w:rsid w:val="008A63DF"/>
    <w:rsid w:val="008A68FF"/>
    <w:rsid w:val="008B1002"/>
    <w:rsid w:val="008B2C0A"/>
    <w:rsid w:val="008B3DBD"/>
    <w:rsid w:val="008B582B"/>
    <w:rsid w:val="008B5BDF"/>
    <w:rsid w:val="008C37DF"/>
    <w:rsid w:val="008C5656"/>
    <w:rsid w:val="008C7A02"/>
    <w:rsid w:val="008C7EA6"/>
    <w:rsid w:val="008D0268"/>
    <w:rsid w:val="008D1558"/>
    <w:rsid w:val="008D2417"/>
    <w:rsid w:val="008D3388"/>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0CFC"/>
    <w:rsid w:val="00931A61"/>
    <w:rsid w:val="0093778A"/>
    <w:rsid w:val="0094059F"/>
    <w:rsid w:val="00943F1C"/>
    <w:rsid w:val="00946375"/>
    <w:rsid w:val="00951B33"/>
    <w:rsid w:val="00952C12"/>
    <w:rsid w:val="00952EA9"/>
    <w:rsid w:val="009540EB"/>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359"/>
    <w:rsid w:val="009B592C"/>
    <w:rsid w:val="009C0409"/>
    <w:rsid w:val="009C12E9"/>
    <w:rsid w:val="009D010F"/>
    <w:rsid w:val="009D1667"/>
    <w:rsid w:val="009D1D06"/>
    <w:rsid w:val="009D22EC"/>
    <w:rsid w:val="009D2E8A"/>
    <w:rsid w:val="009D3B18"/>
    <w:rsid w:val="009D3F39"/>
    <w:rsid w:val="009D457D"/>
    <w:rsid w:val="009D681C"/>
    <w:rsid w:val="009E0BD5"/>
    <w:rsid w:val="009E0FB2"/>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169D5"/>
    <w:rsid w:val="00A2166F"/>
    <w:rsid w:val="00A24B55"/>
    <w:rsid w:val="00A265BE"/>
    <w:rsid w:val="00A304AA"/>
    <w:rsid w:val="00A31617"/>
    <w:rsid w:val="00A31FFF"/>
    <w:rsid w:val="00A33083"/>
    <w:rsid w:val="00A37956"/>
    <w:rsid w:val="00A413E0"/>
    <w:rsid w:val="00A433AA"/>
    <w:rsid w:val="00A447B6"/>
    <w:rsid w:val="00A457AA"/>
    <w:rsid w:val="00A46196"/>
    <w:rsid w:val="00A47168"/>
    <w:rsid w:val="00A55855"/>
    <w:rsid w:val="00A61620"/>
    <w:rsid w:val="00A62876"/>
    <w:rsid w:val="00A6328F"/>
    <w:rsid w:val="00A7369A"/>
    <w:rsid w:val="00A73F5F"/>
    <w:rsid w:val="00A76236"/>
    <w:rsid w:val="00A76F72"/>
    <w:rsid w:val="00A91FBB"/>
    <w:rsid w:val="00A9419F"/>
    <w:rsid w:val="00A9486C"/>
    <w:rsid w:val="00A967C7"/>
    <w:rsid w:val="00A9708D"/>
    <w:rsid w:val="00AA127F"/>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0EB3"/>
    <w:rsid w:val="00AE7F5D"/>
    <w:rsid w:val="00AF0B72"/>
    <w:rsid w:val="00AF1548"/>
    <w:rsid w:val="00AF1C0F"/>
    <w:rsid w:val="00AF35C2"/>
    <w:rsid w:val="00AF42C2"/>
    <w:rsid w:val="00AF42DC"/>
    <w:rsid w:val="00AF47EF"/>
    <w:rsid w:val="00AF61D7"/>
    <w:rsid w:val="00AF6A34"/>
    <w:rsid w:val="00B04642"/>
    <w:rsid w:val="00B06874"/>
    <w:rsid w:val="00B07EAE"/>
    <w:rsid w:val="00B1075F"/>
    <w:rsid w:val="00B111E1"/>
    <w:rsid w:val="00B12BD1"/>
    <w:rsid w:val="00B135A2"/>
    <w:rsid w:val="00B13697"/>
    <w:rsid w:val="00B13D2A"/>
    <w:rsid w:val="00B2763C"/>
    <w:rsid w:val="00B27F58"/>
    <w:rsid w:val="00B31866"/>
    <w:rsid w:val="00B3257D"/>
    <w:rsid w:val="00B326FB"/>
    <w:rsid w:val="00B328F8"/>
    <w:rsid w:val="00B32B1B"/>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7058E"/>
    <w:rsid w:val="00B728C8"/>
    <w:rsid w:val="00B75224"/>
    <w:rsid w:val="00B757EC"/>
    <w:rsid w:val="00B77BD4"/>
    <w:rsid w:val="00B82E7B"/>
    <w:rsid w:val="00B85450"/>
    <w:rsid w:val="00B85AA5"/>
    <w:rsid w:val="00B85CF6"/>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13F0"/>
    <w:rsid w:val="00BC2C94"/>
    <w:rsid w:val="00BC412D"/>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6BEE"/>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4173"/>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3F33"/>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17"/>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3AA0"/>
    <w:rsid w:val="00D54869"/>
    <w:rsid w:val="00D67AFE"/>
    <w:rsid w:val="00D72C5E"/>
    <w:rsid w:val="00D74BD3"/>
    <w:rsid w:val="00D77200"/>
    <w:rsid w:val="00D81724"/>
    <w:rsid w:val="00D8210F"/>
    <w:rsid w:val="00D83C64"/>
    <w:rsid w:val="00D94F5F"/>
    <w:rsid w:val="00DA1668"/>
    <w:rsid w:val="00DA20D3"/>
    <w:rsid w:val="00DA3493"/>
    <w:rsid w:val="00DA3852"/>
    <w:rsid w:val="00DA40DD"/>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26FF"/>
    <w:rsid w:val="00DE3E55"/>
    <w:rsid w:val="00DE584B"/>
    <w:rsid w:val="00DF22D8"/>
    <w:rsid w:val="00DF76E3"/>
    <w:rsid w:val="00E02024"/>
    <w:rsid w:val="00E03013"/>
    <w:rsid w:val="00E03104"/>
    <w:rsid w:val="00E03ABA"/>
    <w:rsid w:val="00E04EC2"/>
    <w:rsid w:val="00E10213"/>
    <w:rsid w:val="00E108F5"/>
    <w:rsid w:val="00E11808"/>
    <w:rsid w:val="00E11F16"/>
    <w:rsid w:val="00E21E7C"/>
    <w:rsid w:val="00E27072"/>
    <w:rsid w:val="00E32184"/>
    <w:rsid w:val="00E32185"/>
    <w:rsid w:val="00E32F0A"/>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0DD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1FCA"/>
    <w:rsid w:val="00F320EF"/>
    <w:rsid w:val="00F3218A"/>
    <w:rsid w:val="00F32634"/>
    <w:rsid w:val="00F34787"/>
    <w:rsid w:val="00F358CB"/>
    <w:rsid w:val="00F370A5"/>
    <w:rsid w:val="00F405D2"/>
    <w:rsid w:val="00F47743"/>
    <w:rsid w:val="00F519FB"/>
    <w:rsid w:val="00F53775"/>
    <w:rsid w:val="00F54E2D"/>
    <w:rsid w:val="00F57119"/>
    <w:rsid w:val="00F60CB5"/>
    <w:rsid w:val="00F70635"/>
    <w:rsid w:val="00F738B9"/>
    <w:rsid w:val="00F74241"/>
    <w:rsid w:val="00F77867"/>
    <w:rsid w:val="00F77A11"/>
    <w:rsid w:val="00F77AD1"/>
    <w:rsid w:val="00F804D1"/>
    <w:rsid w:val="00F81275"/>
    <w:rsid w:val="00F8766A"/>
    <w:rsid w:val="00F92391"/>
    <w:rsid w:val="00F95F9C"/>
    <w:rsid w:val="00FA0267"/>
    <w:rsid w:val="00FA1FBB"/>
    <w:rsid w:val="00FB3AD9"/>
    <w:rsid w:val="00FC08B7"/>
    <w:rsid w:val="00FC2270"/>
    <w:rsid w:val="00FC5035"/>
    <w:rsid w:val="00FC5AE6"/>
    <w:rsid w:val="00FC6A8F"/>
    <w:rsid w:val="00FD367B"/>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List Paragraph"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Overskrift1">
    <w:name w:val="heading 1"/>
    <w:basedOn w:val="Normal"/>
    <w:next w:val="Normal"/>
    <w:link w:val="Overskrift1Tegn"/>
    <w:autoRedefine/>
    <w:qFormat/>
    <w:rsid w:val="00001320"/>
    <w:pPr>
      <w:keepNext/>
      <w:numPr>
        <w:numId w:val="3"/>
      </w:numPr>
      <w:spacing w:before="120" w:line="240" w:lineRule="auto"/>
      <w:outlineLvl w:val="0"/>
    </w:pPr>
    <w:rPr>
      <w:b/>
      <w:bCs/>
      <w:kern w:val="32"/>
      <w:sz w:val="28"/>
      <w:szCs w:val="32"/>
    </w:rPr>
  </w:style>
  <w:style w:type="paragraph" w:styleId="Overskrift2">
    <w:name w:val="heading 2"/>
    <w:basedOn w:val="Overskrift1"/>
    <w:next w:val="Normal"/>
    <w:link w:val="Overskrift2Tegn"/>
    <w:qFormat/>
    <w:rsid w:val="00001320"/>
    <w:pPr>
      <w:numPr>
        <w:ilvl w:val="1"/>
      </w:numPr>
      <w:outlineLvl w:val="1"/>
    </w:pPr>
    <w:rPr>
      <w:rFonts w:cs="Arial"/>
      <w:b w:val="0"/>
      <w:bCs w:val="0"/>
      <w:iCs/>
      <w:sz w:val="24"/>
      <w:szCs w:val="28"/>
      <w:lang w:val="en-US"/>
    </w:rPr>
  </w:style>
  <w:style w:type="paragraph" w:styleId="Overskrift3">
    <w:name w:val="heading 3"/>
    <w:basedOn w:val="Normal"/>
    <w:next w:val="Normal"/>
    <w:link w:val="Overskrift3Tegn"/>
    <w:rsid w:val="00946375"/>
    <w:pPr>
      <w:keepNext/>
      <w:spacing w:before="240" w:after="60"/>
      <w:outlineLvl w:val="2"/>
    </w:pPr>
    <w:rPr>
      <w:b/>
      <w:bCs/>
      <w:sz w:val="22"/>
      <w:szCs w:val="26"/>
    </w:rPr>
  </w:style>
  <w:style w:type="paragraph" w:styleId="Overskrift4">
    <w:name w:val="heading 4"/>
    <w:basedOn w:val="Normal"/>
    <w:next w:val="Normal"/>
    <w:link w:val="Overskrift4Tegn"/>
    <w:rsid w:val="00001320"/>
    <w:pPr>
      <w:keepNext/>
      <w:numPr>
        <w:ilvl w:val="3"/>
        <w:numId w:val="3"/>
      </w:numPr>
      <w:spacing w:before="240" w:after="60"/>
      <w:outlineLvl w:val="3"/>
    </w:pPr>
    <w:rPr>
      <w:rFonts w:ascii="Cambria" w:hAnsi="Cambria"/>
      <w:b/>
      <w:bCs/>
      <w:sz w:val="28"/>
      <w:szCs w:val="28"/>
    </w:rPr>
  </w:style>
  <w:style w:type="paragraph" w:styleId="Overskrift5">
    <w:name w:val="heading 5"/>
    <w:basedOn w:val="Normal"/>
    <w:next w:val="Normal"/>
    <w:link w:val="Overskrift5Tegn"/>
    <w:rsid w:val="00001320"/>
    <w:pPr>
      <w:numPr>
        <w:ilvl w:val="4"/>
        <w:numId w:val="3"/>
      </w:numPr>
      <w:spacing w:before="240" w:after="60"/>
      <w:outlineLvl w:val="4"/>
    </w:pPr>
    <w:rPr>
      <w:rFonts w:ascii="Cambria" w:hAnsi="Cambria"/>
      <w:b/>
      <w:bCs/>
      <w:i/>
      <w:iCs/>
      <w:sz w:val="26"/>
      <w:szCs w:val="26"/>
    </w:rPr>
  </w:style>
  <w:style w:type="paragraph" w:styleId="Overskrift6">
    <w:name w:val="heading 6"/>
    <w:basedOn w:val="Normal"/>
    <w:next w:val="Normal"/>
    <w:link w:val="Overskrift6Tegn"/>
    <w:rsid w:val="00001320"/>
    <w:pPr>
      <w:numPr>
        <w:ilvl w:val="5"/>
        <w:numId w:val="3"/>
      </w:numPr>
      <w:spacing w:before="240" w:after="60"/>
      <w:outlineLvl w:val="5"/>
    </w:pPr>
    <w:rPr>
      <w:rFonts w:ascii="Cambria" w:hAnsi="Cambria"/>
      <w:b/>
      <w:bCs/>
      <w:szCs w:val="22"/>
    </w:rPr>
  </w:style>
  <w:style w:type="paragraph" w:styleId="Overskrift7">
    <w:name w:val="heading 7"/>
    <w:basedOn w:val="Normal"/>
    <w:next w:val="Normal"/>
    <w:link w:val="Overskrift7Tegn"/>
    <w:rsid w:val="00001320"/>
    <w:pPr>
      <w:numPr>
        <w:ilvl w:val="6"/>
        <w:numId w:val="3"/>
      </w:numPr>
      <w:spacing w:before="240" w:after="60"/>
      <w:outlineLvl w:val="6"/>
    </w:pPr>
    <w:rPr>
      <w:rFonts w:ascii="Cambria" w:hAnsi="Cambria"/>
      <w:sz w:val="24"/>
    </w:rPr>
  </w:style>
  <w:style w:type="paragraph" w:styleId="Overskrift8">
    <w:name w:val="heading 8"/>
    <w:basedOn w:val="Normal"/>
    <w:next w:val="Normal"/>
    <w:link w:val="Overskrift8Tegn"/>
    <w:rsid w:val="00001320"/>
    <w:pPr>
      <w:numPr>
        <w:ilvl w:val="7"/>
        <w:numId w:val="3"/>
      </w:numPr>
      <w:spacing w:before="240" w:after="60"/>
      <w:outlineLvl w:val="7"/>
    </w:pPr>
    <w:rPr>
      <w:rFonts w:ascii="Cambria" w:hAnsi="Cambria"/>
      <w:i/>
      <w:iCs/>
      <w:sz w:val="24"/>
    </w:rPr>
  </w:style>
  <w:style w:type="paragraph" w:styleId="Overskrift9">
    <w:name w:val="heading 9"/>
    <w:basedOn w:val="Normal"/>
    <w:next w:val="Normal"/>
    <w:link w:val="Overskrift9Tegn"/>
    <w:rsid w:val="00001320"/>
    <w:pPr>
      <w:numPr>
        <w:ilvl w:val="8"/>
        <w:numId w:val="3"/>
      </w:numPr>
      <w:spacing w:before="240" w:after="60"/>
      <w:outlineLvl w:val="8"/>
    </w:pPr>
    <w:rPr>
      <w:rFonts w:ascii="Calibri" w:hAnsi="Calibri"/>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001320"/>
    <w:rPr>
      <w:rFonts w:ascii="Verdana" w:hAnsi="Verdana" w:cs="Arial"/>
      <w:iCs/>
      <w:kern w:val="32"/>
      <w:szCs w:val="28"/>
      <w:lang w:eastAsia="en-US"/>
    </w:rPr>
  </w:style>
  <w:style w:type="character" w:styleId="Sidetall">
    <w:name w:val="page number"/>
    <w:aliases w:val="ESPON Page No"/>
    <w:basedOn w:val="Standardskriftforavsnitt"/>
    <w:rsid w:val="00A15B61"/>
  </w:style>
  <w:style w:type="character" w:styleId="Hyperkobling">
    <w:name w:val="Hyperlink"/>
    <w:basedOn w:val="Standardskriftforav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Topptekst">
    <w:name w:val="header"/>
    <w:basedOn w:val="Normal"/>
    <w:rsid w:val="00A15B61"/>
    <w:pPr>
      <w:tabs>
        <w:tab w:val="center" w:pos="4320"/>
        <w:tab w:val="right" w:pos="8640"/>
      </w:tabs>
    </w:pPr>
  </w:style>
  <w:style w:type="paragraph" w:styleId="Bunntekst">
    <w:name w:val="footer"/>
    <w:basedOn w:val="Normal"/>
    <w:link w:val="BunntekstTegn"/>
    <w:rsid w:val="00A15B61"/>
    <w:pPr>
      <w:tabs>
        <w:tab w:val="center" w:pos="4320"/>
        <w:tab w:val="right" w:pos="8640"/>
      </w:tabs>
    </w:pPr>
  </w:style>
  <w:style w:type="table" w:styleId="Tabellrutenett">
    <w:name w:val="Table Grid"/>
    <w:basedOn w:val="Vanlig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721B03"/>
    <w:rPr>
      <w:rFonts w:ascii="Tahoma" w:hAnsi="Tahoma" w:cs="Tahoma"/>
      <w:sz w:val="16"/>
      <w:szCs w:val="16"/>
    </w:rPr>
  </w:style>
  <w:style w:type="character" w:customStyle="1" w:styleId="BobletekstTegn">
    <w:name w:val="Bobletekst Tegn"/>
    <w:basedOn w:val="Standardskriftforavsnitt"/>
    <w:link w:val="Bobletekst"/>
    <w:uiPriority w:val="99"/>
    <w:semiHidden/>
    <w:rsid w:val="00721B03"/>
    <w:rPr>
      <w:rFonts w:ascii="Tahoma" w:hAnsi="Tahoma" w:cs="Tahoma"/>
      <w:sz w:val="16"/>
      <w:szCs w:val="16"/>
      <w:lang w:val="en-GB"/>
    </w:rPr>
  </w:style>
  <w:style w:type="character" w:styleId="Fotnotereferanse">
    <w:name w:val="footnote reference"/>
    <w:basedOn w:val="Standardskriftforavsnitt"/>
    <w:semiHidden/>
    <w:rsid w:val="00C47ADC"/>
    <w:rPr>
      <w:sz w:val="20"/>
      <w:vertAlign w:val="superscript"/>
    </w:rPr>
  </w:style>
  <w:style w:type="paragraph" w:styleId="Fotnotetekst">
    <w:name w:val="footnote text"/>
    <w:link w:val="FotnotetekstTegn"/>
    <w:semiHidden/>
    <w:rsid w:val="00FD6260"/>
    <w:pPr>
      <w:jc w:val="both"/>
    </w:pPr>
    <w:rPr>
      <w:rFonts w:ascii="Arial" w:hAnsi="Arial"/>
      <w:sz w:val="18"/>
      <w:lang w:val="en-GB" w:eastAsia="en-US"/>
    </w:rPr>
  </w:style>
  <w:style w:type="character" w:customStyle="1" w:styleId="FotnotetekstTegn">
    <w:name w:val="Fotnotetekst Tegn"/>
    <w:basedOn w:val="Standardskriftforavsnitt"/>
    <w:link w:val="Fotnoteteks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BunntekstTegn">
    <w:name w:val="Bunntekst Tegn"/>
    <w:basedOn w:val="Standardskriftforavsnitt"/>
    <w:link w:val="Bunntekst"/>
    <w:rsid w:val="0047467F"/>
    <w:rPr>
      <w:rFonts w:ascii="Verdana" w:hAnsi="Verdana"/>
      <w:sz w:val="24"/>
      <w:szCs w:val="24"/>
      <w:lang w:val="en-GB"/>
    </w:rPr>
  </w:style>
  <w:style w:type="character" w:customStyle="1" w:styleId="Overskrift1Tegn">
    <w:name w:val="Overskrift 1 Tegn"/>
    <w:basedOn w:val="Standardskriftforavsnitt"/>
    <w:link w:val="Overskrift1"/>
    <w:rsid w:val="00001320"/>
    <w:rPr>
      <w:rFonts w:ascii="Verdana" w:hAnsi="Verdana"/>
      <w:b/>
      <w:bCs/>
      <w:kern w:val="32"/>
      <w:sz w:val="28"/>
      <w:szCs w:val="32"/>
      <w:lang w:val="en-GB" w:eastAsia="en-US"/>
    </w:rPr>
  </w:style>
  <w:style w:type="character" w:customStyle="1" w:styleId="Overskrift3Tegn">
    <w:name w:val="Overskrift 3 Tegn"/>
    <w:basedOn w:val="Standardskriftforavsnitt"/>
    <w:link w:val="Overskrift3"/>
    <w:rsid w:val="00946375"/>
    <w:rPr>
      <w:rFonts w:ascii="Verdana" w:hAnsi="Verdana"/>
      <w:b/>
      <w:bCs/>
      <w:sz w:val="22"/>
      <w:szCs w:val="26"/>
      <w:lang w:val="en-GB" w:eastAsia="en-US"/>
    </w:rPr>
  </w:style>
  <w:style w:type="character" w:customStyle="1" w:styleId="Overskrift4Tegn">
    <w:name w:val="Overskrift 4 Tegn"/>
    <w:basedOn w:val="Standardskriftforavsnitt"/>
    <w:link w:val="Overskrift4"/>
    <w:rsid w:val="00001320"/>
    <w:rPr>
      <w:rFonts w:ascii="Cambria" w:hAnsi="Cambria"/>
      <w:b/>
      <w:bCs/>
      <w:sz w:val="28"/>
      <w:szCs w:val="28"/>
      <w:lang w:val="en-GB" w:eastAsia="en-US"/>
    </w:rPr>
  </w:style>
  <w:style w:type="character" w:customStyle="1" w:styleId="Overskrift5Tegn">
    <w:name w:val="Overskrift 5 Tegn"/>
    <w:basedOn w:val="Standardskriftforavsnitt"/>
    <w:link w:val="Overskrift5"/>
    <w:rsid w:val="00001320"/>
    <w:rPr>
      <w:rFonts w:ascii="Cambria" w:hAnsi="Cambria"/>
      <w:b/>
      <w:bCs/>
      <w:i/>
      <w:iCs/>
      <w:sz w:val="26"/>
      <w:szCs w:val="26"/>
      <w:lang w:val="en-GB" w:eastAsia="en-US"/>
    </w:rPr>
  </w:style>
  <w:style w:type="character" w:customStyle="1" w:styleId="Overskrift6Tegn">
    <w:name w:val="Overskrift 6 Tegn"/>
    <w:basedOn w:val="Standardskriftforavsnitt"/>
    <w:link w:val="Overskrift6"/>
    <w:rsid w:val="00001320"/>
    <w:rPr>
      <w:rFonts w:ascii="Cambria" w:hAnsi="Cambria"/>
      <w:b/>
      <w:bCs/>
      <w:sz w:val="20"/>
      <w:szCs w:val="22"/>
      <w:lang w:val="en-GB" w:eastAsia="en-US"/>
    </w:rPr>
  </w:style>
  <w:style w:type="character" w:customStyle="1" w:styleId="Overskrift7Tegn">
    <w:name w:val="Overskrift 7 Tegn"/>
    <w:basedOn w:val="Standardskriftforavsnitt"/>
    <w:link w:val="Overskrift7"/>
    <w:rsid w:val="00001320"/>
    <w:rPr>
      <w:rFonts w:ascii="Cambria" w:hAnsi="Cambria"/>
      <w:lang w:val="en-GB" w:eastAsia="en-US"/>
    </w:rPr>
  </w:style>
  <w:style w:type="character" w:customStyle="1" w:styleId="Overskrift8Tegn">
    <w:name w:val="Overskrift 8 Tegn"/>
    <w:basedOn w:val="Standardskriftforavsnitt"/>
    <w:link w:val="Overskrift8"/>
    <w:rsid w:val="00001320"/>
    <w:rPr>
      <w:rFonts w:ascii="Cambria" w:hAnsi="Cambria"/>
      <w:i/>
      <w:iCs/>
      <w:lang w:val="en-GB" w:eastAsia="en-US"/>
    </w:rPr>
  </w:style>
  <w:style w:type="character" w:customStyle="1" w:styleId="Overskrift9Tegn">
    <w:name w:val="Overskrift 9 Tegn"/>
    <w:basedOn w:val="Standardskriftforavsnitt"/>
    <w:link w:val="Overskrift9"/>
    <w:rsid w:val="00001320"/>
    <w:rPr>
      <w:rFonts w:ascii="Calibri" w:hAnsi="Calibri"/>
      <w:sz w:val="20"/>
      <w:szCs w:val="22"/>
      <w:lang w:val="en-GB" w:eastAsia="en-US"/>
    </w:rPr>
  </w:style>
  <w:style w:type="paragraph" w:styleId="Listeavsnitt">
    <w:name w:val="List Paragraph"/>
    <w:basedOn w:val="Normal"/>
    <w:qFormat/>
    <w:rsid w:val="00B969F0"/>
    <w:pPr>
      <w:ind w:left="720"/>
      <w:contextualSpacing/>
    </w:pPr>
  </w:style>
  <w:style w:type="character" w:styleId="Merknadsreferanse">
    <w:name w:val="annotation reference"/>
    <w:basedOn w:val="Standardskriftforavsnitt"/>
    <w:rsid w:val="004933BE"/>
    <w:rPr>
      <w:sz w:val="16"/>
      <w:szCs w:val="16"/>
    </w:rPr>
  </w:style>
  <w:style w:type="paragraph" w:styleId="Merknadstekst">
    <w:name w:val="annotation text"/>
    <w:basedOn w:val="Normal"/>
    <w:link w:val="MerknadstekstTegn"/>
    <w:rsid w:val="004933BE"/>
    <w:pPr>
      <w:spacing w:line="240" w:lineRule="auto"/>
    </w:pPr>
    <w:rPr>
      <w:szCs w:val="20"/>
    </w:rPr>
  </w:style>
  <w:style w:type="character" w:customStyle="1" w:styleId="MerknadstekstTegn">
    <w:name w:val="Merknadstekst Tegn"/>
    <w:basedOn w:val="Standardskriftforavsnitt"/>
    <w:link w:val="Merknadstekst"/>
    <w:rsid w:val="004933BE"/>
    <w:rPr>
      <w:rFonts w:ascii="Verdana" w:hAnsi="Verdana"/>
      <w:sz w:val="20"/>
      <w:szCs w:val="20"/>
      <w:lang w:val="en-GB" w:eastAsia="en-US"/>
    </w:rPr>
  </w:style>
  <w:style w:type="paragraph" w:styleId="Kommentaremne">
    <w:name w:val="annotation subject"/>
    <w:basedOn w:val="Merknadstekst"/>
    <w:next w:val="Merknadstekst"/>
    <w:link w:val="KommentaremneTegn"/>
    <w:rsid w:val="004933BE"/>
    <w:rPr>
      <w:b/>
      <w:bCs/>
    </w:rPr>
  </w:style>
  <w:style w:type="character" w:customStyle="1" w:styleId="KommentaremneTegn">
    <w:name w:val="Kommentaremne Tegn"/>
    <w:basedOn w:val="MerknadstekstTegn"/>
    <w:link w:val="Kommentare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ildetekst">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jon">
    <w:name w:val="Revision"/>
    <w:hidden/>
    <w:rsid w:val="00086387"/>
    <w:rPr>
      <w:rFonts w:ascii="Verdana" w:hAnsi="Verdana"/>
      <w:sz w:val="20"/>
      <w:lang w:val="en-GB" w:eastAsia="en-US"/>
    </w:rPr>
  </w:style>
  <w:style w:type="character" w:styleId="Fulgthyperkobling">
    <w:name w:val="FollowedHyperlink"/>
    <w:basedOn w:val="Standardskriftforavsnitt"/>
    <w:rsid w:val="00A02FD6"/>
    <w:rPr>
      <w:color w:val="800080" w:themeColor="followedHyperlink"/>
      <w:u w:val="single"/>
    </w:rPr>
  </w:style>
  <w:style w:type="character" w:customStyle="1" w:styleId="apple-converted-space">
    <w:name w:val="apple-converted-space"/>
    <w:basedOn w:val="Standardskriftforavsnitt"/>
    <w:rsid w:val="00654361"/>
  </w:style>
  <w:style w:type="character" w:customStyle="1" w:styleId="hps">
    <w:name w:val="hps"/>
    <w:basedOn w:val="Standardskriftforavsnit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44019116">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2555949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5590312">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247349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6765069D-62F8-41E4-8000-083AEB09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3516</Words>
  <Characters>18639</Characters>
  <Application>Microsoft Office Word</Application>
  <DocSecurity>4</DocSecurity>
  <Lines>155</Lines>
  <Paragraphs>44</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22111</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Testbruker</cp:lastModifiedBy>
  <cp:revision>2</cp:revision>
  <cp:lastPrinted>2012-11-13T20:46:00Z</cp:lastPrinted>
  <dcterms:created xsi:type="dcterms:W3CDTF">2013-02-28T09:20:00Z</dcterms:created>
  <dcterms:modified xsi:type="dcterms:W3CDTF">2013-02-28T09:20:00Z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