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37764A" w:rsidP="0037764A">
      <w:pPr>
        <w:tabs>
          <w:tab w:val="left" w:pos="6195"/>
        </w:tabs>
        <w:spacing w:after="0" w:line="240" w:lineRule="auto"/>
        <w:jc w:val="left"/>
        <w:rPr>
          <w:rFonts w:ascii="Arial" w:hAnsi="Arial" w:cs="Arial"/>
          <w:sz w:val="32"/>
          <w:szCs w:val="32"/>
          <w:lang w:val="en-US"/>
        </w:rPr>
      </w:pPr>
      <w:r>
        <w:rPr>
          <w:rFonts w:ascii="Arial" w:hAnsi="Arial" w:cs="Arial"/>
          <w:sz w:val="32"/>
          <w:szCs w:val="32"/>
          <w:lang w:val="en-US"/>
        </w:rPr>
        <w:tab/>
      </w: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CD49C4" w:rsidRDefault="00B81893" w:rsidP="008F09C6">
      <w:pPr>
        <w:spacing w:line="240" w:lineRule="auto"/>
        <w:ind w:left="-851"/>
        <w:jc w:val="center"/>
        <w:rPr>
          <w:rFonts w:ascii="Arial" w:hAnsi="Arial" w:cs="Arial"/>
          <w:sz w:val="40"/>
          <w:szCs w:val="40"/>
          <w:lang w:val="en-US"/>
        </w:rPr>
      </w:pPr>
      <w:r w:rsidRPr="00CD49C4">
        <w:rPr>
          <w:rFonts w:ascii="Arial" w:hAnsi="Arial" w:cs="Arial"/>
          <w:sz w:val="40"/>
          <w:szCs w:val="40"/>
          <w:lang w:val="en-US"/>
        </w:rPr>
        <w:t>North Sea</w:t>
      </w:r>
    </w:p>
    <w:p w:rsidR="00E613A3" w:rsidRDefault="003C50D4" w:rsidP="00337519">
      <w:pPr>
        <w:spacing w:after="0" w:line="240" w:lineRule="auto"/>
        <w:ind w:left="-851"/>
        <w:jc w:val="center"/>
        <w:rPr>
          <w:rFonts w:ascii="Arial" w:hAnsi="Arial" w:cs="Arial"/>
          <w:sz w:val="32"/>
          <w:szCs w:val="32"/>
          <w:lang w:val="en-US"/>
        </w:rPr>
      </w:pPr>
      <w:r>
        <w:rPr>
          <w:rFonts w:ascii="Arial" w:hAnsi="Arial" w:cs="Arial"/>
          <w:noProof/>
          <w:sz w:val="32"/>
          <w:szCs w:val="32"/>
          <w:lang w:val="nb-NO" w:eastAsia="nb-NO"/>
        </w:rPr>
        <w:drawing>
          <wp:inline distT="0" distB="0" distL="0" distR="0">
            <wp:extent cx="3519170" cy="5220335"/>
            <wp:effectExtent l="19050" t="0" r="5080"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519170" cy="5220335"/>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BC65E1" w:rsidRPr="008F09C6" w:rsidRDefault="00BC65E1" w:rsidP="00337519">
      <w:pPr>
        <w:spacing w:after="0" w:line="240" w:lineRule="auto"/>
        <w:ind w:left="-851"/>
        <w:rPr>
          <w:rFonts w:ascii="Arial" w:hAnsi="Arial" w:cs="Arial"/>
          <w:sz w:val="16"/>
          <w:szCs w:val="16"/>
          <w:lang w:val="en-US"/>
        </w:rPr>
      </w:pPr>
    </w:p>
    <w:p w:rsidR="00CD49C4" w:rsidRDefault="00CD49C4" w:rsidP="00CD49C4">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CD49C4" w:rsidRDefault="00CD49C4" w:rsidP="00CD49C4">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8F09C6">
      <w:pPr>
        <w:spacing w:after="0" w:line="240" w:lineRule="auto"/>
        <w:ind w:left="-851"/>
        <w:jc w:val="center"/>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Overskrift1"/>
        <w:numPr>
          <w:ilvl w:val="0"/>
          <w:numId w:val="0"/>
        </w:numPr>
        <w:ind w:left="432" w:hanging="432"/>
      </w:pPr>
      <w:r>
        <w:lastRenderedPageBreak/>
        <w:t>Introduction</w:t>
      </w:r>
    </w:p>
    <w:p w:rsidR="0037764A" w:rsidRDefault="0037764A" w:rsidP="0037764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37764A" w:rsidRDefault="0037764A" w:rsidP="0037764A">
      <w:r>
        <w:t xml:space="preserve">The ESPON TERREVI project focuses on producing evidence for Structural Funds programmes with the aim to support the development of the programmes to be carried out in the 2014-2020 period. </w:t>
      </w:r>
    </w:p>
    <w:p w:rsidR="0037764A" w:rsidRDefault="0037764A" w:rsidP="0037764A">
      <w:pPr>
        <w:shd w:val="clear" w:color="auto" w:fill="FFFFFF" w:themeFill="background1"/>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37764A" w:rsidRPr="007456E2" w:rsidRDefault="0037764A" w:rsidP="0037764A">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p>
    <w:p w:rsidR="00345B16" w:rsidRPr="0085195F" w:rsidRDefault="0037764A" w:rsidP="00345B16">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345B16">
        <w:t>This</w:t>
      </w:r>
      <w:r w:rsidR="00345B16" w:rsidRPr="0085195F">
        <w:t xml:space="preserve"> is intended as an electronic publication so map quality is generally high to allow users to zoom into specific territories.</w:t>
      </w:r>
    </w:p>
    <w:p w:rsidR="0037764A" w:rsidRDefault="00345B16" w:rsidP="00345B16">
      <w:pPr>
        <w:shd w:val="clear" w:color="auto" w:fill="FFFFFF"/>
      </w:pPr>
      <w:r w:rsidRPr="0085195F">
        <w:t>This factsheet does not necessarily reflect the opinion of the ESPON Monitoring Committee.</w:t>
      </w:r>
    </w:p>
    <w:p w:rsidR="0037764A" w:rsidRDefault="0037764A" w:rsidP="0037764A">
      <w:pPr>
        <w:pStyle w:val="Overskrift1"/>
      </w:pPr>
      <w:r>
        <w:t xml:space="preserve">Europe 2020 </w:t>
      </w:r>
    </w:p>
    <w:p w:rsidR="0037764A" w:rsidRDefault="0037764A" w:rsidP="0037764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37764A" w:rsidRDefault="0037764A" w:rsidP="0037764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w:t>
      </w:r>
      <w:r w:rsidR="00B551ED">
        <w:t>area</w:t>
      </w:r>
      <w:r>
        <w:t xml:space="preserve"> and the way and degree to which it is affected. </w:t>
      </w:r>
    </w:p>
    <w:p w:rsidR="0037764A" w:rsidRDefault="0037764A" w:rsidP="0037764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37764A" w:rsidRDefault="0037764A" w:rsidP="0037764A">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B45D92" w:rsidRDefault="00B45D92" w:rsidP="00B45D92">
      <w:r>
        <w:t>In the following the traffic light for each indicator represents how your programme territory compares to wider European medians where green = your programme area performs better for that indicator, yel</w:t>
      </w:r>
      <w:r w:rsidR="00345B16">
        <w:t>low = similar, and red = worse.</w:t>
      </w:r>
    </w:p>
    <w:p w:rsidR="005337C7" w:rsidRPr="001A1861" w:rsidRDefault="005337C7" w:rsidP="005337C7">
      <w:pPr>
        <w:spacing w:after="240"/>
        <w:rPr>
          <w:lang w:val="en-US"/>
        </w:rPr>
      </w:pPr>
      <w:r w:rsidRPr="001A1861">
        <w:t xml:space="preserve">The traffic lights below were created in order to graphically represent the situation of each analysed TNC Area compared to the one of the EU-27+4 </w:t>
      </w:r>
      <w:proofErr w:type="gramStart"/>
      <w:r w:rsidRPr="001A1861">
        <w:t>space</w:t>
      </w:r>
      <w:proofErr w:type="gramEnd"/>
      <w:r w:rsidRPr="001A1861">
        <w:t>. The median value, calculated depending on the values registered for every NUTS 2/NUTS 3 region composing the programme area was used as the central value indicator. The median of the programme area was compared to the one computed for EU-27+4 territory.</w:t>
      </w:r>
    </w:p>
    <w:p w:rsidR="005337C7" w:rsidRDefault="005337C7" w:rsidP="005337C7">
      <w:pPr>
        <w:spacing w:after="240"/>
        <w:rPr>
          <w:lang w:val="en-US"/>
        </w:rPr>
      </w:pPr>
      <w:r w:rsidRPr="001A1861">
        <w:rPr>
          <w:lang w:val="en-US"/>
        </w:rPr>
        <w:t>EU 27+4 in traffic l</w:t>
      </w:r>
      <w:r>
        <w:t>ights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5337C7" w:rsidRDefault="005337C7">
      <w:pPr>
        <w:spacing w:after="0" w:line="240" w:lineRule="auto"/>
        <w:jc w:val="left"/>
        <w:rPr>
          <w:lang w:val="en-US"/>
        </w:rPr>
      </w:pPr>
      <w:r>
        <w:rPr>
          <w:lang w:val="en-US"/>
        </w:rPr>
        <w:br w:type="page"/>
      </w:r>
    </w:p>
    <w:p w:rsidR="00337872" w:rsidRDefault="00E43562" w:rsidP="00337872">
      <w:pPr>
        <w:pStyle w:val="Overskrift3"/>
      </w:pPr>
      <w:r w:rsidRPr="00977ADD">
        <w:t xml:space="preserve">Smart, Sustainable and Inclusive </w:t>
      </w:r>
      <w:r w:rsidR="00337872" w:rsidRPr="00977ADD">
        <w:t>growth</w:t>
      </w:r>
      <w:r w:rsidR="00337872"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E43562" w:rsidRDefault="00E43562" w:rsidP="00E43562">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rsidR="00326273">
        <w:t>. In the framework of the Europe</w:t>
      </w:r>
      <w:r>
        <w:t xml:space="preserve"> 2020 Strategy it means focus on competitiveness, resource efficiency, climate change and biodiversity.</w:t>
      </w:r>
    </w:p>
    <w:p w:rsidR="00E43562" w:rsidRDefault="00200B38" w:rsidP="00E43562">
      <w:r>
        <w:rPr>
          <w:noProof/>
          <w:lang w:val="nb-NO" w:eastAsia="nb-NO"/>
        </w:rPr>
        <w:drawing>
          <wp:anchor distT="0" distB="0" distL="114300" distR="114300" simplePos="0" relativeHeight="251686400" behindDoc="1" locked="0" layoutInCell="1" allowOverlap="1">
            <wp:simplePos x="0" y="0"/>
            <wp:positionH relativeFrom="column">
              <wp:posOffset>-24765</wp:posOffset>
            </wp:positionH>
            <wp:positionV relativeFrom="paragraph">
              <wp:posOffset>1146175</wp:posOffset>
            </wp:positionV>
            <wp:extent cx="5271135" cy="3380740"/>
            <wp:effectExtent l="19050" t="0" r="5715" b="0"/>
            <wp:wrapTight wrapText="bothSides">
              <wp:wrapPolygon edited="0">
                <wp:start x="-78" y="122"/>
                <wp:lineTo x="-78" y="20813"/>
                <wp:lineTo x="21623" y="20813"/>
                <wp:lineTo x="21623" y="122"/>
                <wp:lineTo x="-78" y="122"/>
              </wp:wrapPolygon>
            </wp:wrapTight>
            <wp:docPr id="3" name="Bild 1" descr="C:\Dokumente und Einstellungen\pucher\Desktop\TL_TNC\TrafficLights_TNC_v3_North_Se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Desktop\TL_TNC\TrafficLights_TNC_v3_North_Sea1.png"/>
                    <pic:cNvPicPr>
                      <a:picLocks noChangeAspect="1" noChangeArrowheads="1"/>
                    </pic:cNvPicPr>
                  </pic:nvPicPr>
                  <pic:blipFill>
                    <a:blip r:embed="rId15" cstate="print"/>
                    <a:srcRect/>
                    <a:stretch>
                      <a:fillRect/>
                    </a:stretch>
                  </pic:blipFill>
                  <pic:spPr bwMode="auto">
                    <a:xfrm>
                      <a:off x="0" y="0"/>
                      <a:ext cx="5271135" cy="3380740"/>
                    </a:xfrm>
                    <a:prstGeom prst="rect">
                      <a:avLst/>
                    </a:prstGeom>
                    <a:noFill/>
                    <a:ln w="9525">
                      <a:noFill/>
                      <a:miter lim="800000"/>
                      <a:headEnd/>
                      <a:tailEnd/>
                    </a:ln>
                  </pic:spPr>
                </pic:pic>
              </a:graphicData>
            </a:graphic>
          </wp:anchor>
        </w:drawing>
      </w:r>
      <w:r w:rsidR="00E43562">
        <w:t xml:space="preserve">Inclusive growth refers to </w:t>
      </w:r>
      <w:r w:rsidR="00E43562" w:rsidRPr="00151954">
        <w:t>fostering a high-employment economy delivering social and territorial cohesion.</w:t>
      </w:r>
      <w:r w:rsidR="00E43562">
        <w:t xml:space="preserve"> Within the Europe 2020 Strategy it means </w:t>
      </w:r>
      <w:r w:rsidR="00E43562" w:rsidRPr="00151954">
        <w:t>raising Europe’s employment rate, helping people of all ages anticipate and manage change through investment in skills &amp; training, modernising labour markets and welfare systems, and ensuring the benefits of growth reach all parts of the EU</w:t>
      </w:r>
      <w:r w:rsidR="00E43562">
        <w:t>. In short the key factors are employment and avoiding risk of poverty and social exclusion.</w:t>
      </w:r>
    </w:p>
    <w:p w:rsidR="00277824" w:rsidRDefault="00277824" w:rsidP="00277824">
      <w:pPr>
        <w:spacing w:line="240" w:lineRule="atLeast"/>
        <w:rPr>
          <w:szCs w:val="20"/>
          <w:lang w:val="en-US"/>
        </w:rPr>
      </w:pPr>
      <w:r w:rsidRPr="00811EB5">
        <w:rPr>
          <w:szCs w:val="20"/>
          <w:lang w:val="en-US"/>
        </w:rPr>
        <w:t xml:space="preserve">Looking at the indicators for </w:t>
      </w:r>
      <w:r w:rsidRPr="00811EB5">
        <w:rPr>
          <w:b/>
          <w:szCs w:val="20"/>
          <w:lang w:val="en-US"/>
        </w:rPr>
        <w:t>smart growth</w:t>
      </w:r>
      <w:r>
        <w:rPr>
          <w:szCs w:val="20"/>
          <w:lang w:val="en-US"/>
        </w:rPr>
        <w:t xml:space="preserve">, the North Sea TNC area </w:t>
      </w:r>
      <w:r w:rsidR="00CF68E8">
        <w:rPr>
          <w:szCs w:val="20"/>
          <w:lang w:val="en-US"/>
        </w:rPr>
        <w:t>has more</w:t>
      </w:r>
      <w:r>
        <w:rPr>
          <w:szCs w:val="20"/>
          <w:lang w:val="en-US"/>
        </w:rPr>
        <w:t xml:space="preserve"> positive values compared to the EU27+4 (with regards to employment in knowledge-intensive services, and the number of persons regularly using the internet). With regards to R&amp;D expenditure, the TNC area </w:t>
      </w:r>
      <w:r w:rsidR="00CF68E8">
        <w:rPr>
          <w:szCs w:val="20"/>
          <w:lang w:val="en-US"/>
        </w:rPr>
        <w:t>has also</w:t>
      </w:r>
      <w:r>
        <w:rPr>
          <w:szCs w:val="20"/>
          <w:lang w:val="en-US"/>
        </w:rPr>
        <w:t xml:space="preserve"> more positive values compared to the EU27+4 although it must be added that the disparities within the area are high.</w:t>
      </w:r>
    </w:p>
    <w:p w:rsidR="00C5462E" w:rsidRPr="00277824" w:rsidRDefault="00277824" w:rsidP="00E43562">
      <w:pPr>
        <w:spacing w:line="240" w:lineRule="atLeast"/>
        <w:rPr>
          <w:szCs w:val="20"/>
          <w:lang w:val="en-US"/>
        </w:rPr>
      </w:pPr>
      <w:r>
        <w:rPr>
          <w:szCs w:val="20"/>
          <w:lang w:val="en-US"/>
        </w:rPr>
        <w:t>Using the taxonomy of the KIT project, Map 1 shows a diversified and scattered situation in terms of patterns of innovation. In some parts of the TNC area (south of Denmark and North-West Germany), many Nuts-2 regions of the TNC area are either rated as “applied science-“ or “European science-based” areas due to a high level of science-based local knowledge and a high degree of attractiveness of knowledge coming from other regions. The other regions are mainly qualified as smart and creative diversification areas or smart technological application areas.</w:t>
      </w:r>
    </w:p>
    <w:p w:rsidR="00FA78A9" w:rsidRPr="00811EB5" w:rsidRDefault="00277824" w:rsidP="00277824">
      <w:pPr>
        <w:spacing w:line="240" w:lineRule="atLeast"/>
        <w:rPr>
          <w:szCs w:val="20"/>
          <w:lang w:val="en-US"/>
        </w:rPr>
      </w:pPr>
      <w:r>
        <w:rPr>
          <w:szCs w:val="20"/>
          <w:lang w:val="en-US"/>
        </w:rPr>
        <w:t xml:space="preserve">The indicators for </w:t>
      </w:r>
      <w:r w:rsidRPr="00500A22">
        <w:rPr>
          <w:b/>
          <w:szCs w:val="20"/>
          <w:lang w:val="en-US"/>
        </w:rPr>
        <w:t>sustainable growth</w:t>
      </w:r>
      <w:r>
        <w:rPr>
          <w:szCs w:val="20"/>
          <w:lang w:val="en-US"/>
        </w:rPr>
        <w:t xml:space="preserve"> vary for the North Sea TNC area. The wind energy potential of the TNC area is higher than the potential of the EU27+4 and has a high level of diversity within the area. In terms of ozone concentration, the North Sea shows less positive values than the EU27+4; however the disparities within the area are high. The TNC area seems to be as vulnerable to climate change as the EU27+4 with high disparities across its regions.</w:t>
      </w:r>
    </w:p>
    <w:p w:rsidR="00277824" w:rsidRPr="00811EB5" w:rsidRDefault="00277824" w:rsidP="00277824">
      <w:pPr>
        <w:rPr>
          <w:lang w:val="en-US"/>
        </w:rPr>
      </w:pPr>
      <w:r>
        <w:rPr>
          <w:lang w:val="en-US"/>
        </w:rPr>
        <w:t xml:space="preserve">The disparities within the TNC area are also striking when looking at Map 3 which highlights the adaptive capacity to climate change. The </w:t>
      </w:r>
      <w:r w:rsidR="00FA78A9">
        <w:rPr>
          <w:lang w:val="en-US"/>
        </w:rPr>
        <w:t>south</w:t>
      </w:r>
      <w:r>
        <w:rPr>
          <w:lang w:val="en-US"/>
        </w:rPr>
        <w:t xml:space="preserve"> of </w:t>
      </w:r>
      <w:r w:rsidR="00FA78A9">
        <w:rPr>
          <w:lang w:val="en-US"/>
        </w:rPr>
        <w:t>Sweden</w:t>
      </w:r>
      <w:r>
        <w:rPr>
          <w:lang w:val="en-US"/>
        </w:rPr>
        <w:t xml:space="preserve"> and </w:t>
      </w:r>
      <w:r w:rsidR="00FA78A9">
        <w:rPr>
          <w:lang w:val="en-US"/>
        </w:rPr>
        <w:t>parts of German, Denmark and eastern Great Britain</w:t>
      </w:r>
      <w:r>
        <w:rPr>
          <w:lang w:val="en-US"/>
        </w:rPr>
        <w:t xml:space="preserve"> regions of the TNC area show </w:t>
      </w:r>
      <w:r w:rsidR="00FA78A9">
        <w:rPr>
          <w:lang w:val="en-US"/>
        </w:rPr>
        <w:t>higher</w:t>
      </w:r>
      <w:r>
        <w:rPr>
          <w:lang w:val="en-US"/>
        </w:rPr>
        <w:t xml:space="preserve"> capacity to adapt to climate change than the other regions.</w:t>
      </w:r>
    </w:p>
    <w:p w:rsidR="00277824" w:rsidRDefault="00277824" w:rsidP="00277824">
      <w:pPr>
        <w:spacing w:after="0" w:line="240" w:lineRule="auto"/>
        <w:jc w:val="left"/>
        <w:rPr>
          <w:szCs w:val="20"/>
          <w:lang w:val="en-US"/>
        </w:rPr>
      </w:pPr>
      <w:r w:rsidRPr="00500A22">
        <w:rPr>
          <w:szCs w:val="20"/>
          <w:lang w:val="en-US"/>
        </w:rPr>
        <w:t xml:space="preserve">The </w:t>
      </w:r>
      <w:r>
        <w:rPr>
          <w:szCs w:val="20"/>
          <w:lang w:val="en-US"/>
        </w:rPr>
        <w:t xml:space="preserve">TNC area is generally not affected in terms of </w:t>
      </w:r>
      <w:r w:rsidRPr="00500A22">
        <w:rPr>
          <w:szCs w:val="20"/>
          <w:lang w:val="en-US"/>
        </w:rPr>
        <w:t xml:space="preserve">fossil fuel consumption </w:t>
      </w:r>
      <w:r>
        <w:rPr>
          <w:szCs w:val="20"/>
          <w:lang w:val="en-US"/>
        </w:rPr>
        <w:t>by</w:t>
      </w:r>
      <w:r w:rsidRPr="00500A22">
        <w:rPr>
          <w:szCs w:val="20"/>
          <w:lang w:val="en-US"/>
        </w:rPr>
        <w:t xml:space="preserve"> </w:t>
      </w:r>
      <w:r>
        <w:rPr>
          <w:szCs w:val="20"/>
          <w:lang w:val="en-US"/>
        </w:rPr>
        <w:t xml:space="preserve">the </w:t>
      </w:r>
      <w:r w:rsidRPr="00500A22">
        <w:rPr>
          <w:szCs w:val="20"/>
          <w:lang w:val="en-US"/>
        </w:rPr>
        <w:t>Directive on the promotion of clean and energy-efficient road transport vehicles</w:t>
      </w:r>
      <w:r>
        <w:rPr>
          <w:szCs w:val="20"/>
          <w:lang w:val="en-US"/>
        </w:rPr>
        <w:t xml:space="preserve">. The exceptions are a few regions in </w:t>
      </w:r>
      <w:r w:rsidR="00FA78A9">
        <w:rPr>
          <w:szCs w:val="20"/>
          <w:lang w:val="en-US"/>
        </w:rPr>
        <w:t>the Netherlands and Great Britain</w:t>
      </w:r>
      <w:r>
        <w:rPr>
          <w:szCs w:val="20"/>
          <w:lang w:val="en-US"/>
        </w:rPr>
        <w:t xml:space="preserve"> which seem to witness a </w:t>
      </w:r>
      <w:r w:rsidR="00FA78A9">
        <w:rPr>
          <w:szCs w:val="20"/>
          <w:lang w:val="en-US"/>
        </w:rPr>
        <w:t>minor positive impact.</w:t>
      </w:r>
    </w:p>
    <w:p w:rsidR="00C5462E" w:rsidRPr="00277824" w:rsidRDefault="00C5462E" w:rsidP="00E43562">
      <w:pPr>
        <w:spacing w:line="240" w:lineRule="atLeast"/>
        <w:rPr>
          <w:szCs w:val="20"/>
          <w:lang w:val="en-US"/>
        </w:rPr>
      </w:pPr>
    </w:p>
    <w:p w:rsidR="00FA78A9" w:rsidRDefault="00FA78A9" w:rsidP="00E43562">
      <w:pPr>
        <w:spacing w:line="240" w:lineRule="atLeast"/>
        <w:rPr>
          <w:szCs w:val="20"/>
          <w:lang w:val="en-US"/>
        </w:rPr>
      </w:pPr>
      <w:r w:rsidRPr="00811EB5">
        <w:rPr>
          <w:szCs w:val="20"/>
          <w:lang w:val="en-US"/>
        </w:rPr>
        <w:t>Looking at the indicators for</w:t>
      </w:r>
      <w:r>
        <w:rPr>
          <w:szCs w:val="20"/>
          <w:lang w:val="en-US"/>
        </w:rPr>
        <w:t xml:space="preserve"> </w:t>
      </w:r>
      <w:r w:rsidRPr="004E2230">
        <w:rPr>
          <w:b/>
          <w:szCs w:val="20"/>
          <w:lang w:val="en-US"/>
        </w:rPr>
        <w:t>inclusive growth</w:t>
      </w:r>
      <w:r>
        <w:rPr>
          <w:szCs w:val="20"/>
          <w:lang w:val="en-US"/>
        </w:rPr>
        <w:t xml:space="preserve"> the long-term unemployment rate in the TNC area is lower than in the EU27+4. The at-risk-of-poverty rate is comparable to the EU27+4. Both show high disparities within the TNC area. The share of persons aged 25-64 and 20-24 with upper secondary or tertiary education attainment is comparable to the rate of the EU27+4. </w:t>
      </w:r>
    </w:p>
    <w:p w:rsidR="00C5462E" w:rsidRPr="00FA78A9" w:rsidRDefault="00FA78A9" w:rsidP="00E43562">
      <w:pPr>
        <w:spacing w:line="240" w:lineRule="atLeast"/>
        <w:rPr>
          <w:szCs w:val="20"/>
          <w:lang w:val="en-US"/>
        </w:rPr>
      </w:pPr>
      <w:r>
        <w:rPr>
          <w:szCs w:val="20"/>
          <w:lang w:val="en-US"/>
        </w:rPr>
        <w:t xml:space="preserve">Map 5 illustrates the diversity within the region with regards to the employment rates. </w:t>
      </w:r>
      <w:r w:rsidR="002746B8">
        <w:rPr>
          <w:szCs w:val="20"/>
          <w:lang w:val="en-US"/>
        </w:rPr>
        <w:t xml:space="preserve">Some parts of Germany and Great Britain </w:t>
      </w:r>
      <w:r>
        <w:rPr>
          <w:szCs w:val="20"/>
          <w:lang w:val="en-US"/>
        </w:rPr>
        <w:t xml:space="preserve">of the TNC </w:t>
      </w:r>
      <w:r w:rsidR="002746B8">
        <w:rPr>
          <w:szCs w:val="20"/>
          <w:lang w:val="en-US"/>
        </w:rPr>
        <w:t>area</w:t>
      </w:r>
      <w:r>
        <w:rPr>
          <w:szCs w:val="20"/>
          <w:lang w:val="en-US"/>
        </w:rPr>
        <w:t xml:space="preserve"> experience higher employment rates than the outer regions within the </w:t>
      </w:r>
      <w:r w:rsidR="002746B8">
        <w:rPr>
          <w:szCs w:val="20"/>
          <w:lang w:val="en-US"/>
        </w:rPr>
        <w:t>North Sea</w:t>
      </w:r>
      <w:r>
        <w:rPr>
          <w:szCs w:val="20"/>
          <w:lang w:val="en-US"/>
        </w:rPr>
        <w:t xml:space="preserve"> area. In all four ESPON DEMIFER scenarios (Map 4), the </w:t>
      </w:r>
      <w:r w:rsidR="002746B8">
        <w:rPr>
          <w:szCs w:val="20"/>
          <w:lang w:val="en-US"/>
        </w:rPr>
        <w:t>south part</w:t>
      </w:r>
      <w:r>
        <w:rPr>
          <w:szCs w:val="20"/>
          <w:lang w:val="en-US"/>
        </w:rPr>
        <w:t xml:space="preserve"> regions </w:t>
      </w:r>
      <w:r w:rsidR="002746B8">
        <w:rPr>
          <w:szCs w:val="20"/>
          <w:lang w:val="en-US"/>
        </w:rPr>
        <w:t xml:space="preserve">of the TNC area (parts of Germany and Denmark) </w:t>
      </w:r>
      <w:r>
        <w:rPr>
          <w:szCs w:val="20"/>
          <w:lang w:val="en-US"/>
        </w:rPr>
        <w:t xml:space="preserve">seem to experience more negative changes in labour market </w:t>
      </w:r>
      <w:r w:rsidR="002746B8">
        <w:rPr>
          <w:szCs w:val="20"/>
          <w:lang w:val="en-US"/>
        </w:rPr>
        <w:t xml:space="preserve">forces by 2050. </w:t>
      </w:r>
      <w:r w:rsidR="00CF68E8">
        <w:rPr>
          <w:szCs w:val="20"/>
          <w:lang w:val="en-US"/>
        </w:rPr>
        <w:t>In</w:t>
      </w:r>
      <w:r>
        <w:rPr>
          <w:szCs w:val="20"/>
          <w:lang w:val="en-US"/>
        </w:rPr>
        <w:t xml:space="preserve"> the scenarios “Growing social Europe” and “Expanding Market Europe” the changes in labour force seem to have positive outcomes also in </w:t>
      </w:r>
      <w:r w:rsidR="002746B8">
        <w:rPr>
          <w:szCs w:val="20"/>
          <w:lang w:val="en-US"/>
        </w:rPr>
        <w:t xml:space="preserve">the Scandinavian parts of the area. </w:t>
      </w:r>
    </w:p>
    <w:p w:rsidR="00E43562" w:rsidRPr="00277824" w:rsidRDefault="00E43562" w:rsidP="00E43562"/>
    <w:p w:rsidR="00E43562" w:rsidRPr="00277824" w:rsidRDefault="00E43562">
      <w:pPr>
        <w:spacing w:after="0" w:line="240" w:lineRule="auto"/>
        <w:jc w:val="left"/>
      </w:pPr>
      <w:r w:rsidRPr="00277824">
        <w:br w:type="page"/>
      </w:r>
    </w:p>
    <w:p w:rsidR="008A3B96" w:rsidRPr="004E39BD" w:rsidRDefault="00337872" w:rsidP="008A3B96">
      <w:pPr>
        <w:rPr>
          <w:b/>
        </w:rPr>
      </w:pPr>
      <w:r w:rsidRPr="004E39BD">
        <w:rPr>
          <w:b/>
        </w:rPr>
        <w:t xml:space="preserve">MAP </w:t>
      </w:r>
      <w:r w:rsidR="007221CD">
        <w:rPr>
          <w:b/>
        </w:rPr>
        <w:t xml:space="preserve">1 </w:t>
      </w:r>
      <w:r w:rsidR="004E39BD" w:rsidRPr="004E39BD">
        <w:rPr>
          <w:b/>
        </w:rPr>
        <w:t>– Territorial Patterns of Innovation (ESPON KIT project)</w:t>
      </w:r>
      <w:r w:rsidR="006166FD">
        <w:rPr>
          <w:b/>
        </w:rPr>
        <w:t xml:space="preserve"> for the TNC</w:t>
      </w:r>
      <w:r w:rsidR="002371D8">
        <w:rPr>
          <w:b/>
        </w:rPr>
        <w:t xml:space="preserve"> </w:t>
      </w:r>
      <w:r w:rsidR="006166FD">
        <w:rPr>
          <w:b/>
        </w:rPr>
        <w:t xml:space="preserve">North </w:t>
      </w:r>
      <w:r w:rsidR="00B171E1">
        <w:rPr>
          <w:b/>
        </w:rPr>
        <w:t>Sea</w:t>
      </w:r>
    </w:p>
    <w:p w:rsidR="008A3B96" w:rsidRDefault="008A3B96" w:rsidP="008A3B96"/>
    <w:p w:rsidR="008A3B96" w:rsidRDefault="00F166B6" w:rsidP="008A3B96">
      <w:pPr>
        <w:spacing w:after="0" w:line="240" w:lineRule="auto"/>
      </w:pPr>
      <w:r w:rsidRPr="00F166B6">
        <w:rPr>
          <w:noProof/>
          <w:lang w:val="de-DE" w:eastAsia="de-DE"/>
        </w:rPr>
        <w:pict>
          <v:shape id="_x0000_s1029" style="position:absolute;left:0;text-align:left;margin-left:92.6pt;margin-top:2.3pt;width:174.95pt;height:229.65pt;z-index:251676160" coordsize="3499,4593" path="m68,2650c,2762,24,2903,23,2981v-1,79,21,72,39,143c80,3196,116,3336,134,3410v18,74,15,48,38,156c195,3674,216,3912,270,4059v54,147,148,337,227,390c577,4503,683,4361,750,4378v68,17,91,144,150,176c959,4585,1025,4593,1107,4567v82,-27,243,-123,286,-169c1436,4351,1323,4310,1361,4287v38,-23,176,-59,259,-26c1703,4295,1787,4485,1861,4489v74,4,154,-130,201,-202c2109,4215,2122,4133,2140,4054v18,-80,22,-182,33,-247c2183,3741,2192,3693,2205,3657v12,-36,6,-41,39,-65c2278,3568,2357,3552,2407,3514v50,-37,108,-92,136,-149c2571,3307,2573,3252,2575,3169v2,-82,9,-194,-19,-298c2528,2768,2453,2633,2407,2546v-47,-86,-79,-119,-130,-194c2226,2277,2110,2199,2101,2093v-9,-106,47,-170,120,-380c2294,1503,2408,1006,2541,833v133,-173,382,-88,480,-160c3119,601,3081,453,3131,403v50,-50,145,27,190,-30c3366,316,3499,108,3401,63,3303,18,2951,,2731,103,2511,206,2221,496,2081,683v-140,187,-80,330,-190,540c1781,1433,1529,1701,1421,1943v-108,242,-196,497,-180,730c1257,2906,1465,3182,1517,3339v52,157,22,208,38,279c1572,3688,1638,3726,1614,3761v-24,34,-136,41,-201,65c1348,3850,1293,3860,1225,3904v-68,45,-167,134,-221,188c950,4146,935,4202,900,4228v-36,27,-100,48,-110,20c779,4220,845,4141,835,4059,825,3977,765,3836,731,3755,696,3674,667,3651,627,3573,587,3495,508,3369,491,3287v-17,-82,18,-144,32,-208c537,3015,569,2965,575,2903v7,-61,-53,-102,-13,-194c602,2617,786,2449,815,2352v29,-98,-14,-220,-78,-228c673,2117,543,2219,432,2306,320,2393,136,2537,68,2650xe" filled="f" strokecolor="#0070c0" strokeweight="2pt">
            <v:path arrowok="t"/>
          </v:shape>
        </w:pict>
      </w:r>
      <w:r w:rsidR="0036361E">
        <w:rPr>
          <w:noProof/>
          <w:lang w:val="nb-NO" w:eastAsia="nb-NO"/>
        </w:rPr>
        <w:drawing>
          <wp:inline distT="0" distB="0" distL="0" distR="0">
            <wp:extent cx="5278755" cy="6284584"/>
            <wp:effectExtent l="1905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6166FD" w:rsidRPr="004E39BD" w:rsidRDefault="009F77A8" w:rsidP="006166FD">
      <w:pPr>
        <w:rPr>
          <w:b/>
        </w:rPr>
      </w:pPr>
      <w:r w:rsidRPr="00C33A99">
        <w:rPr>
          <w:b/>
        </w:rPr>
        <w:t xml:space="preserve">MAP </w:t>
      </w:r>
      <w:r w:rsidR="007221CD">
        <w:rPr>
          <w:b/>
        </w:rPr>
        <w:t>2 –</w:t>
      </w:r>
      <w:r w:rsidRPr="00C33A99">
        <w:rPr>
          <w:b/>
        </w:rPr>
        <w:t xml:space="preserve"> Territorial impact on fossil fuel consumption of Directive on the promotion of clean and energy-efficient road transport vehicles (ESPON ARTS project)</w:t>
      </w:r>
      <w:r w:rsidR="002371D8">
        <w:rPr>
          <w:b/>
        </w:rPr>
        <w:t xml:space="preserve"> </w:t>
      </w:r>
      <w:r w:rsidR="00B171E1">
        <w:rPr>
          <w:b/>
        </w:rPr>
        <w:t>TNC North Sea</w:t>
      </w:r>
    </w:p>
    <w:p w:rsidR="00D26713" w:rsidRDefault="00D26713" w:rsidP="00D26713">
      <w:pPr>
        <w:spacing w:after="0" w:line="240" w:lineRule="auto"/>
        <w:rPr>
          <w:noProof/>
          <w:lang w:eastAsia="en-GB"/>
        </w:rPr>
      </w:pPr>
    </w:p>
    <w:p w:rsidR="00D26713" w:rsidRDefault="00F166B6" w:rsidP="00D26713">
      <w:pPr>
        <w:spacing w:after="0" w:line="240" w:lineRule="auto"/>
        <w:rPr>
          <w:noProof/>
          <w:lang w:eastAsia="en-GB"/>
        </w:rPr>
      </w:pPr>
      <w:r w:rsidRPr="00F166B6">
        <w:rPr>
          <w:noProof/>
          <w:lang w:val="de-DE" w:eastAsia="de-DE"/>
        </w:rPr>
        <w:pict>
          <v:shape id="_x0000_s1040" style="position:absolute;left:0;text-align:left;margin-left:129.75pt;margin-top:8.85pt;width:164.55pt;height:199.1pt;z-index:251688448" coordsize="3211,3982" path="m61,2202c,2304,21,2434,21,2505v-1,73,18,66,34,131c71,2702,104,2830,120,2898v16,68,13,44,34,143c174,3140,193,3358,241,3493v48,134,132,309,203,357c515,3900,610,3769,669,3785v61,16,82,132,134,161c856,3975,915,3982,988,3958v73,-25,217,-113,255,-155c1282,3760,1181,3723,1215,3702v34,-21,157,-54,231,-24c1520,3709,1595,3883,1661,3887v66,3,137,-119,179,-185c1882,3636,1894,3561,1910,3488v16,-73,20,-167,29,-226c1948,3201,1956,3157,1968,3124v11,-33,5,-37,35,-59c2033,3043,2104,3028,2148,2993v45,-33,97,-84,122,-136c2295,2804,2297,2753,2298,2677v2,-75,8,-177,-17,-273c2256,2310,2189,2186,2148,2107v-42,-79,-87,-110,-116,-178c2003,1861,1963,1795,1977,1699v14,-96,75,-182,141,-346c2184,1189,2249,842,2370,717v121,-125,386,-54,477,-112c2938,547,2854,423,2913,371v59,-52,280,-17,289,-75c3211,238,3084,50,2969,25,2854,,2678,44,2510,147,2342,250,2087,464,1959,642v-128,178,-108,421,-215,571c1637,1363,1420,1372,1314,1540v-106,168,-213,468,-206,683c1115,2438,1308,2689,1354,2833v46,144,20,191,34,256c1403,3153,1462,3188,1441,3220v-22,31,-122,37,-180,59c1203,3301,1154,3310,1093,3351v-60,41,-149,123,-197,172c848,3572,835,3624,803,3648v-32,24,-89,44,-98,18c695,3640,754,3568,745,3493v-9,-75,-62,-205,-93,-279c621,3140,595,3119,560,3047,524,2976,453,2861,438,2785v-15,-75,16,-131,29,-190c479,2536,508,2490,513,2434v6,-56,-47,-94,-11,-178c537,2172,702,2018,727,1929v26,-90,-12,-202,-69,-209c601,1714,485,1807,386,1887,286,1966,121,2098,61,2202xe" filled="f" strokecolor="#0070c0" strokeweight="2pt">
            <v:path arrowok="t"/>
          </v:shape>
        </w:pict>
      </w:r>
      <w:r w:rsidR="0036361E">
        <w:rPr>
          <w:noProof/>
          <w:lang w:val="nb-NO" w:eastAsia="nb-NO"/>
        </w:rPr>
        <w:drawing>
          <wp:inline distT="0" distB="0" distL="0" distR="0">
            <wp:extent cx="5278755" cy="5815626"/>
            <wp:effectExtent l="19050" t="0" r="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6166FD" w:rsidRDefault="0066206E" w:rsidP="006166FD">
      <w:pPr>
        <w:rPr>
          <w:b/>
        </w:rPr>
      </w:pPr>
      <w:r w:rsidRPr="000E592C">
        <w:rPr>
          <w:b/>
        </w:rPr>
        <w:t xml:space="preserve">MAP </w:t>
      </w:r>
      <w:r w:rsidR="007221CD">
        <w:rPr>
          <w:b/>
        </w:rPr>
        <w:t>3 –</w:t>
      </w:r>
      <w:r w:rsidRPr="000E592C">
        <w:rPr>
          <w:b/>
        </w:rPr>
        <w:t xml:space="preserve"> </w:t>
      </w:r>
      <w:r w:rsidR="006E618B" w:rsidRPr="000E592C">
        <w:rPr>
          <w:b/>
        </w:rPr>
        <w:t>Combined adaptive capacity to climate change (ESPON CLIMATE project)</w:t>
      </w:r>
      <w:r w:rsidR="002371D8" w:rsidRPr="000E592C">
        <w:rPr>
          <w:b/>
        </w:rPr>
        <w:t xml:space="preserve"> for the </w:t>
      </w:r>
      <w:r w:rsidR="006166FD" w:rsidRPr="000E592C">
        <w:rPr>
          <w:b/>
        </w:rPr>
        <w:t xml:space="preserve">TNC </w:t>
      </w:r>
      <w:r w:rsidR="00B171E1">
        <w:rPr>
          <w:b/>
        </w:rPr>
        <w:t>North Sea</w:t>
      </w:r>
    </w:p>
    <w:p w:rsidR="005337C7" w:rsidRPr="00021CAB" w:rsidRDefault="005337C7" w:rsidP="005337C7">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F54E2D" w:rsidRDefault="00F166B6">
      <w:pPr>
        <w:spacing w:after="0" w:line="240" w:lineRule="auto"/>
        <w:jc w:val="left"/>
        <w:rPr>
          <w:noProof/>
          <w:lang w:eastAsia="en-GB"/>
        </w:rPr>
      </w:pPr>
      <w:r w:rsidRPr="00F166B6">
        <w:rPr>
          <w:i/>
          <w:noProof/>
          <w:lang w:val="de-DE" w:eastAsia="de-DE"/>
        </w:rPr>
        <w:pict>
          <v:shape id="_x0000_s1041" style="position:absolute;margin-left:111.3pt;margin-top:40.65pt;width:177.45pt;height:206.55pt;z-index:251689472" coordsize="3211,3982" path="m61,2202c,2304,21,2434,21,2505v-1,73,18,66,34,131c71,2702,104,2830,120,2898v16,68,13,44,34,143c174,3140,193,3358,241,3493v48,134,132,309,203,357c515,3900,610,3769,669,3785v61,16,82,132,134,161c856,3975,915,3982,988,3958v73,-25,217,-113,255,-155c1282,3760,1181,3723,1215,3702v34,-21,157,-54,231,-24c1520,3709,1595,3883,1661,3887v66,3,137,-119,179,-185c1882,3636,1894,3561,1910,3488v16,-73,20,-167,29,-226c1948,3201,1956,3157,1968,3124v11,-33,5,-37,35,-59c2033,3043,2104,3028,2148,2993v45,-33,97,-84,122,-136c2295,2804,2297,2753,2298,2677v2,-75,8,-177,-17,-273c2256,2310,2189,2186,2148,2107v-42,-79,-87,-110,-116,-178c2003,1861,1963,1795,1977,1699v14,-96,75,-182,141,-346c2184,1189,2249,842,2370,717v121,-125,386,-54,477,-112c2938,547,2854,423,2913,371v59,-52,280,-17,289,-75c3211,238,3084,50,2969,25,2854,,2678,44,2510,147,2342,250,2087,464,1959,642v-128,178,-108,421,-215,571c1637,1363,1420,1372,1314,1540v-106,168,-213,468,-206,683c1115,2438,1308,2689,1354,2833v46,144,20,191,34,256c1403,3153,1462,3188,1441,3220v-22,31,-122,37,-180,59c1203,3301,1154,3310,1093,3351v-60,41,-149,123,-197,172c848,3572,835,3624,803,3648v-32,24,-89,44,-98,18c695,3640,754,3568,745,3493v-9,-75,-62,-205,-93,-279c621,3140,595,3119,560,3047,524,2976,453,2861,438,2785v-15,-75,16,-131,29,-190c479,2536,508,2490,513,2434v6,-56,-47,-94,-11,-178c537,2172,702,2018,727,1929v26,-90,-12,-202,-69,-209c601,1714,485,1807,386,1887,286,1966,121,2098,61,2202xe" filled="f" strokecolor="#0070c0" strokeweight="2pt">
            <v:path arrowok="t"/>
          </v:shape>
        </w:pict>
      </w:r>
      <w:r w:rsidR="00B75D6B">
        <w:rPr>
          <w:b/>
          <w:noProof/>
          <w:lang w:val="nb-NO" w:eastAsia="nb-NO"/>
        </w:rPr>
        <w:drawing>
          <wp:inline distT="0" distB="0" distL="0" distR="0">
            <wp:extent cx="5278755" cy="6831330"/>
            <wp:effectExtent l="19050" t="0" r="0" b="0"/>
            <wp:docPr id="15" name="Grafik 13" descr="MAP3 TNC.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 TNC.ai.jpg"/>
                    <pic:cNvPicPr/>
                  </pic:nvPicPr>
                  <pic:blipFill>
                    <a:blip r:embed="rId18" cstate="print"/>
                    <a:stretch>
                      <a:fillRect/>
                    </a:stretch>
                  </pic:blipFill>
                  <pic:spPr>
                    <a:xfrm>
                      <a:off x="0" y="0"/>
                      <a:ext cx="5278755" cy="6831330"/>
                    </a:xfrm>
                    <a:prstGeom prst="rect">
                      <a:avLst/>
                    </a:prstGeom>
                  </pic:spPr>
                </pic:pic>
              </a:graphicData>
            </a:graphic>
          </wp:inline>
        </w:drawing>
      </w:r>
      <w:r w:rsidR="00F54E2D">
        <w:rPr>
          <w:noProof/>
          <w:lang w:eastAsia="en-GB"/>
        </w:rPr>
        <w:br w:type="page"/>
      </w:r>
    </w:p>
    <w:p w:rsidR="006166FD" w:rsidRPr="004E39BD" w:rsidRDefault="00AF47EF" w:rsidP="006166FD">
      <w:pPr>
        <w:rPr>
          <w:b/>
        </w:rPr>
      </w:pPr>
      <w:r w:rsidRPr="00C33A99">
        <w:rPr>
          <w:b/>
        </w:rPr>
        <w:t xml:space="preserve">MAP </w:t>
      </w:r>
      <w:r w:rsidR="007221CD">
        <w:rPr>
          <w:b/>
        </w:rPr>
        <w:t xml:space="preserve">4 – </w:t>
      </w:r>
      <w:r w:rsidR="00C04A1F" w:rsidRPr="00C33A99">
        <w:rPr>
          <w:b/>
        </w:rPr>
        <w:t>Change in Labour Force 2005-2050 (ESPON DEMIFER project)</w:t>
      </w:r>
      <w:r w:rsidR="002371D8">
        <w:rPr>
          <w:b/>
        </w:rPr>
        <w:t xml:space="preserve"> for </w:t>
      </w:r>
      <w:r w:rsidR="006166FD">
        <w:rPr>
          <w:b/>
        </w:rPr>
        <w:t xml:space="preserve">the TNC </w:t>
      </w:r>
      <w:r w:rsidR="00B171E1">
        <w:rPr>
          <w:b/>
        </w:rPr>
        <w:t>North Sea</w:t>
      </w:r>
    </w:p>
    <w:p w:rsidR="0089569C" w:rsidRDefault="0089569C" w:rsidP="0089569C">
      <w:pPr>
        <w:spacing w:after="0" w:line="240" w:lineRule="auto"/>
        <w:rPr>
          <w:noProof/>
          <w:lang w:eastAsia="en-GB"/>
        </w:rPr>
      </w:pPr>
    </w:p>
    <w:p w:rsidR="0089569C" w:rsidRDefault="00F166B6" w:rsidP="0089569C">
      <w:pPr>
        <w:spacing w:after="0" w:line="240" w:lineRule="auto"/>
        <w:rPr>
          <w:noProof/>
          <w:lang w:eastAsia="en-GB"/>
        </w:rPr>
      </w:pPr>
      <w:r w:rsidRPr="00F166B6">
        <w:rPr>
          <w:noProof/>
          <w:lang w:val="de-DE" w:eastAsia="de-DE"/>
        </w:rPr>
        <w:pict>
          <v:shape id="_x0000_s1045" style="position:absolute;left:0;text-align:left;margin-left:255.6pt;margin-top:214.65pt;width:96.5pt;height:115.95pt;z-index:251693568" coordsize="3211,3982" path="m61,2202c,2304,21,2434,21,2505v-1,73,18,66,34,131c71,2702,104,2830,120,2898v16,68,13,44,34,143c174,3140,193,3358,241,3493v48,134,132,309,203,357c515,3900,610,3769,669,3785v61,16,82,132,134,161c856,3975,915,3982,988,3958v73,-25,217,-113,255,-155c1282,3760,1181,3723,1215,3702v34,-21,157,-54,231,-24c1520,3709,1595,3883,1661,3887v66,3,137,-119,179,-185c1882,3636,1894,3561,1910,3488v16,-73,20,-167,29,-226c1948,3201,1956,3157,1968,3124v11,-33,5,-37,35,-59c2033,3043,2104,3028,2148,2993v45,-33,97,-84,122,-136c2295,2804,2297,2753,2298,2677v2,-75,8,-177,-17,-273c2256,2310,2189,2186,2148,2107v-42,-79,-87,-110,-116,-178c2003,1861,1963,1795,1977,1699v14,-96,75,-182,141,-346c2184,1189,2249,842,2370,717v121,-125,386,-54,477,-112c2938,547,2854,423,2913,371v59,-52,280,-17,289,-75c3211,238,3084,50,2969,25,2854,,2678,44,2510,147,2342,250,2087,464,1959,642v-128,178,-108,421,-215,571c1637,1363,1420,1372,1314,1540v-106,168,-213,468,-206,683c1115,2438,1308,2689,1354,2833v46,144,20,191,34,256c1403,3153,1462,3188,1441,3220v-22,31,-122,37,-180,59c1203,3301,1154,3310,1093,3351v-60,41,-149,123,-197,172c848,3572,835,3624,803,3648v-32,24,-89,44,-98,18c695,3640,754,3568,745,3493v-9,-75,-62,-205,-93,-279c621,3140,595,3119,560,3047,524,2976,453,2861,438,2785v-15,-75,16,-131,29,-190c479,2536,508,2490,513,2434v6,-56,-47,-94,-11,-178c537,2172,702,2018,727,1929v26,-90,-12,-202,-69,-209c601,1714,485,1807,386,1887,286,1966,121,2098,61,2202xe" filled="f" strokecolor="#0070c0" strokeweight="2pt">
            <v:path arrowok="t"/>
          </v:shape>
        </w:pict>
      </w:r>
      <w:r w:rsidRPr="00F166B6">
        <w:rPr>
          <w:noProof/>
          <w:lang w:val="de-DE" w:eastAsia="de-DE"/>
        </w:rPr>
        <w:pict>
          <v:shape id="_x0000_s1044" style="position:absolute;left:0;text-align:left;margin-left:56.65pt;margin-top:214.65pt;width:96.5pt;height:115.95pt;z-index:251692544" coordsize="3211,3982" path="m61,2202c,2304,21,2434,21,2505v-1,73,18,66,34,131c71,2702,104,2830,120,2898v16,68,13,44,34,143c174,3140,193,3358,241,3493v48,134,132,309,203,357c515,3900,610,3769,669,3785v61,16,82,132,134,161c856,3975,915,3982,988,3958v73,-25,217,-113,255,-155c1282,3760,1181,3723,1215,3702v34,-21,157,-54,231,-24c1520,3709,1595,3883,1661,3887v66,3,137,-119,179,-185c1882,3636,1894,3561,1910,3488v16,-73,20,-167,29,-226c1948,3201,1956,3157,1968,3124v11,-33,5,-37,35,-59c2033,3043,2104,3028,2148,2993v45,-33,97,-84,122,-136c2295,2804,2297,2753,2298,2677v2,-75,8,-177,-17,-273c2256,2310,2189,2186,2148,2107v-42,-79,-87,-110,-116,-178c2003,1861,1963,1795,1977,1699v14,-96,75,-182,141,-346c2184,1189,2249,842,2370,717v121,-125,386,-54,477,-112c2938,547,2854,423,2913,371v59,-52,280,-17,289,-75c3211,238,3084,50,2969,25,2854,,2678,44,2510,147,2342,250,2087,464,1959,642v-128,178,-108,421,-215,571c1637,1363,1420,1372,1314,1540v-106,168,-213,468,-206,683c1115,2438,1308,2689,1354,2833v46,144,20,191,34,256c1403,3153,1462,3188,1441,3220v-22,31,-122,37,-180,59c1203,3301,1154,3310,1093,3351v-60,41,-149,123,-197,172c848,3572,835,3624,803,3648v-32,24,-89,44,-98,18c695,3640,754,3568,745,3493v-9,-75,-62,-205,-93,-279c621,3140,595,3119,560,3047,524,2976,453,2861,438,2785v-15,-75,16,-131,29,-190c479,2536,508,2490,513,2434v6,-56,-47,-94,-11,-178c537,2172,702,2018,727,1929v26,-90,-12,-202,-69,-209c601,1714,485,1807,386,1887,286,1966,121,2098,61,2202xe" filled="f" strokecolor="#0070c0" strokeweight="2pt">
            <v:path arrowok="t"/>
          </v:shape>
        </w:pict>
      </w:r>
      <w:r w:rsidRPr="00F166B6">
        <w:rPr>
          <w:noProof/>
          <w:lang w:val="de-DE" w:eastAsia="de-DE"/>
        </w:rPr>
        <w:pict>
          <v:shape id="_x0000_s1043" style="position:absolute;left:0;text-align:left;margin-left:255.6pt;margin-top:8.65pt;width:96.5pt;height:115.95pt;z-index:251691520" coordsize="3211,3982" path="m61,2202c,2304,21,2434,21,2505v-1,73,18,66,34,131c71,2702,104,2830,120,2898v16,68,13,44,34,143c174,3140,193,3358,241,3493v48,134,132,309,203,357c515,3900,610,3769,669,3785v61,16,82,132,134,161c856,3975,915,3982,988,3958v73,-25,217,-113,255,-155c1282,3760,1181,3723,1215,3702v34,-21,157,-54,231,-24c1520,3709,1595,3883,1661,3887v66,3,137,-119,179,-185c1882,3636,1894,3561,1910,3488v16,-73,20,-167,29,-226c1948,3201,1956,3157,1968,3124v11,-33,5,-37,35,-59c2033,3043,2104,3028,2148,2993v45,-33,97,-84,122,-136c2295,2804,2297,2753,2298,2677v2,-75,8,-177,-17,-273c2256,2310,2189,2186,2148,2107v-42,-79,-87,-110,-116,-178c2003,1861,1963,1795,1977,1699v14,-96,75,-182,141,-346c2184,1189,2249,842,2370,717v121,-125,386,-54,477,-112c2938,547,2854,423,2913,371v59,-52,280,-17,289,-75c3211,238,3084,50,2969,25,2854,,2678,44,2510,147,2342,250,2087,464,1959,642v-128,178,-108,421,-215,571c1637,1363,1420,1372,1314,1540v-106,168,-213,468,-206,683c1115,2438,1308,2689,1354,2833v46,144,20,191,34,256c1403,3153,1462,3188,1441,3220v-22,31,-122,37,-180,59c1203,3301,1154,3310,1093,3351v-60,41,-149,123,-197,172c848,3572,835,3624,803,3648v-32,24,-89,44,-98,18c695,3640,754,3568,745,3493v-9,-75,-62,-205,-93,-279c621,3140,595,3119,560,3047,524,2976,453,2861,438,2785v-15,-75,16,-131,29,-190c479,2536,508,2490,513,2434v6,-56,-47,-94,-11,-178c537,2172,702,2018,727,1929v26,-90,-12,-202,-69,-209c601,1714,485,1807,386,1887,286,1966,121,2098,61,2202xe" filled="f" strokecolor="#0070c0" strokeweight="2pt">
            <v:path arrowok="t"/>
          </v:shape>
        </w:pict>
      </w:r>
      <w:r w:rsidRPr="00F166B6">
        <w:rPr>
          <w:noProof/>
          <w:lang w:val="de-DE" w:eastAsia="de-DE"/>
        </w:rPr>
        <w:pict>
          <v:shape id="_x0000_s1042" style="position:absolute;left:0;text-align:left;margin-left:55.35pt;margin-top:8.65pt;width:96.5pt;height:115.95pt;z-index:251690496" coordsize="3211,3982" path="m61,2202c,2304,21,2434,21,2505v-1,73,18,66,34,131c71,2702,104,2830,120,2898v16,68,13,44,34,143c174,3140,193,3358,241,3493v48,134,132,309,203,357c515,3900,610,3769,669,3785v61,16,82,132,134,161c856,3975,915,3982,988,3958v73,-25,217,-113,255,-155c1282,3760,1181,3723,1215,3702v34,-21,157,-54,231,-24c1520,3709,1595,3883,1661,3887v66,3,137,-119,179,-185c1882,3636,1894,3561,1910,3488v16,-73,20,-167,29,-226c1948,3201,1956,3157,1968,3124v11,-33,5,-37,35,-59c2033,3043,2104,3028,2148,2993v45,-33,97,-84,122,-136c2295,2804,2297,2753,2298,2677v2,-75,8,-177,-17,-273c2256,2310,2189,2186,2148,2107v-42,-79,-87,-110,-116,-178c2003,1861,1963,1795,1977,1699v14,-96,75,-182,141,-346c2184,1189,2249,842,2370,717v121,-125,386,-54,477,-112c2938,547,2854,423,2913,371v59,-52,280,-17,289,-75c3211,238,3084,50,2969,25,2854,,2678,44,2510,147,2342,250,2087,464,1959,642v-128,178,-108,421,-215,571c1637,1363,1420,1372,1314,1540v-106,168,-213,468,-206,683c1115,2438,1308,2689,1354,2833v46,144,20,191,34,256c1403,3153,1462,3188,1441,3220v-22,31,-122,37,-180,59c1203,3301,1154,3310,1093,3351v-60,41,-149,123,-197,172c848,3572,835,3624,803,3648v-32,24,-89,44,-98,18c695,3640,754,3568,745,3493v-9,-75,-62,-205,-93,-279c621,3140,595,3119,560,3047,524,2976,453,2861,438,2785v-15,-75,16,-131,29,-190c479,2536,508,2490,513,2434v6,-56,-47,-94,-11,-178c537,2172,702,2018,727,1929v26,-90,-12,-202,-69,-209c601,1714,485,1807,386,1887,286,1966,121,2098,61,2202xe" filled="f" strokecolor="#0070c0" strokeweight="2pt">
            <v:path arrowok="t"/>
          </v:shape>
        </w:pict>
      </w:r>
      <w:r w:rsidR="00B75D6B">
        <w:rPr>
          <w:noProof/>
          <w:lang w:val="nb-NO" w:eastAsia="nb-NO"/>
        </w:rPr>
        <w:drawing>
          <wp:inline distT="0" distB="0" distL="0" distR="0">
            <wp:extent cx="5278755" cy="6911340"/>
            <wp:effectExtent l="19050" t="0" r="0" b="0"/>
            <wp:docPr id="16" name="Grafik 15" descr="M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4.png"/>
                    <pic:cNvPicPr/>
                  </pic:nvPicPr>
                  <pic:blipFill>
                    <a:blip r:embed="rId19"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6166FD" w:rsidRPr="004E39BD" w:rsidRDefault="0066206E" w:rsidP="006166FD">
      <w:pPr>
        <w:rPr>
          <w:b/>
        </w:rPr>
      </w:pPr>
      <w:r w:rsidRPr="00D82705">
        <w:rPr>
          <w:b/>
        </w:rPr>
        <w:t xml:space="preserve">MAP </w:t>
      </w:r>
      <w:r w:rsidR="007221CD">
        <w:rPr>
          <w:b/>
        </w:rPr>
        <w:t>5 –</w:t>
      </w:r>
      <w:r w:rsidRPr="00D82705">
        <w:rPr>
          <w:b/>
        </w:rPr>
        <w:t xml:space="preserve"> </w:t>
      </w:r>
      <w:r w:rsidR="00FD4E3A" w:rsidRPr="00D82705">
        <w:rPr>
          <w:b/>
        </w:rPr>
        <w:t>Employment rate 2010</w:t>
      </w:r>
      <w:r w:rsidR="002371D8" w:rsidRPr="00D82705">
        <w:rPr>
          <w:b/>
        </w:rPr>
        <w:t xml:space="preserve"> within the </w:t>
      </w:r>
      <w:r w:rsidR="006166FD" w:rsidRPr="00D82705">
        <w:rPr>
          <w:b/>
        </w:rPr>
        <w:t xml:space="preserve">TNC </w:t>
      </w:r>
      <w:r w:rsidR="00B171E1">
        <w:rPr>
          <w:b/>
        </w:rPr>
        <w:t>North Sea</w:t>
      </w:r>
    </w:p>
    <w:p w:rsidR="006166FD" w:rsidRDefault="006166FD" w:rsidP="00FD4E3A">
      <w:pPr>
        <w:spacing w:after="0" w:line="240" w:lineRule="auto"/>
        <w:jc w:val="left"/>
        <w:rPr>
          <w:noProof/>
          <w:lang w:eastAsia="en-GB"/>
        </w:rPr>
      </w:pPr>
    </w:p>
    <w:p w:rsidR="006166FD" w:rsidRDefault="00F166B6" w:rsidP="00FD4E3A">
      <w:pPr>
        <w:spacing w:after="0" w:line="240" w:lineRule="auto"/>
        <w:jc w:val="left"/>
        <w:rPr>
          <w:noProof/>
          <w:lang w:eastAsia="en-GB"/>
        </w:rPr>
      </w:pPr>
      <w:r w:rsidRPr="00F166B6">
        <w:rPr>
          <w:noProof/>
          <w:lang w:val="de-DE" w:eastAsia="de-DE"/>
        </w:rPr>
        <w:pict>
          <v:shape id="_x0000_s1046" style="position:absolute;margin-left:72.15pt;margin-top:29.6pt;width:151.65pt;height:205.6pt;z-index:251694592" coordsize="3033,4112" path="m59,2385c,2484,20,2610,20,2679v-1,71,18,64,33,127c69,2870,101,2994,116,3060v16,66,13,43,33,139c168,3295,187,3507,233,3638v47,130,128,299,197,346c499,4032,591,3905,648,3921v59,15,79,128,129,156c829,4105,886,4112,957,4089v70,-25,210,-110,247,-151c1241,3897,1143,3861,1176,3840v33,-20,152,-52,224,-23c1472,3847,1544,4016,1608,4020v64,3,133,-116,174,-180c1822,3776,1834,3704,1849,3633v16,-71,20,-162,28,-219c1886,3354,1894,3312,1905,3280v11,-32,5,-36,34,-58c1968,3201,2037,3187,2080,3153v43,-32,94,-82,118,-132c2222,2969,2224,2920,2225,2846v2,-73,8,-172,-16,-265c2184,2490,2119,2370,2080,2293v-41,-77,-84,-107,-113,-173c1939,2054,1901,1990,1914,1897v14,-93,72,-145,137,-335c2116,1372,2202,911,2305,754v103,-157,290,-69,365,-131c2745,561,2697,427,2754,380v57,-47,245,22,262,-37c3033,284,2981,50,2857,25,2733,,2443,78,2268,193,2093,308,1915,521,1809,717v-106,196,-76,486,-177,654c1531,1539,1295,1554,1202,1727v-93,173,-147,467,-129,679c1091,2618,1266,2858,1311,2997v45,140,19,186,33,249c1358,3308,1416,3342,1395,3373v-21,30,-118,36,-174,57c1165,3451,1117,3460,1058,3500v-58,40,-144,119,-190,167c821,3714,808,3765,777,3788v-30,23,-86,43,-94,17c673,3780,730,3710,721,3638v-8,-73,-60,-199,-90,-271c601,3295,576,3275,542,3205,507,3136,439,3025,424,2951v-14,-73,16,-127,28,-185c464,2709,492,2665,497,2610v6,-54,-46,-91,-11,-172c520,2356,680,2207,704,2120v25,-87,-12,-196,-67,-202c582,1912,470,2002,374,2080v-97,76,-257,204,-315,305xe" filled="f" strokecolor="#0070c0" strokeweight="2pt">
            <v:path arrowok="t"/>
          </v:shape>
        </w:pict>
      </w:r>
      <w:r w:rsidR="00F341ED">
        <w:rPr>
          <w:noProof/>
          <w:lang w:val="nb-NO" w:eastAsia="nb-NO"/>
        </w:rPr>
        <w:drawing>
          <wp:anchor distT="0" distB="0" distL="114300" distR="114300" simplePos="0" relativeHeight="251687424" behindDoc="0" locked="0" layoutInCell="1" allowOverlap="1">
            <wp:simplePos x="0" y="0"/>
            <wp:positionH relativeFrom="column">
              <wp:posOffset>1302179</wp:posOffset>
            </wp:positionH>
            <wp:positionV relativeFrom="paragraph">
              <wp:posOffset>5196190</wp:posOffset>
            </wp:positionV>
            <wp:extent cx="916615" cy="414670"/>
            <wp:effectExtent l="19050" t="0" r="0" b="0"/>
            <wp:wrapNone/>
            <wp:docPr id="2"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20" cstate="print"/>
                    <a:srcRect/>
                    <a:stretch>
                      <a:fillRect/>
                    </a:stretch>
                  </pic:blipFill>
                  <pic:spPr bwMode="auto">
                    <a:xfrm>
                      <a:off x="0" y="0"/>
                      <a:ext cx="916615" cy="414670"/>
                    </a:xfrm>
                    <a:prstGeom prst="rect">
                      <a:avLst/>
                    </a:prstGeom>
                    <a:noFill/>
                    <a:ln w="9525">
                      <a:noFill/>
                      <a:miter lim="800000"/>
                      <a:headEnd/>
                      <a:tailEnd/>
                    </a:ln>
                  </pic:spPr>
                </pic:pic>
              </a:graphicData>
            </a:graphic>
          </wp:anchor>
        </w:drawing>
      </w:r>
      <w:r w:rsidR="00B75D6B">
        <w:rPr>
          <w:noProof/>
          <w:lang w:val="nb-NO" w:eastAsia="nb-NO"/>
        </w:rPr>
        <w:drawing>
          <wp:inline distT="0" distB="0" distL="0" distR="0">
            <wp:extent cx="5278755" cy="6141085"/>
            <wp:effectExtent l="19050" t="0" r="0" b="0"/>
            <wp:docPr id="17" name="Grafik 16" descr="MA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png"/>
                    <pic:cNvPicPr/>
                  </pic:nvPicPr>
                  <pic:blipFill>
                    <a:blip r:embed="rId21" cstate="print"/>
                    <a:stretch>
                      <a:fillRect/>
                    </a:stretch>
                  </pic:blipFill>
                  <pic:spPr>
                    <a:xfrm>
                      <a:off x="0" y="0"/>
                      <a:ext cx="5278755" cy="6141085"/>
                    </a:xfrm>
                    <a:prstGeom prst="rect">
                      <a:avLst/>
                    </a:prstGeom>
                  </pic:spPr>
                </pic:pic>
              </a:graphicData>
            </a:graphic>
          </wp:inline>
        </w:drawing>
      </w:r>
    </w:p>
    <w:p w:rsidR="006166FD" w:rsidRDefault="006166FD"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977ADD" w:rsidRDefault="005761A6" w:rsidP="005761A6">
      <w:pPr>
        <w:pStyle w:val="Overskrift1"/>
      </w:pPr>
      <w:r w:rsidRPr="00977ADD">
        <w:t xml:space="preserve">Territorial factors of interest for the programme area </w:t>
      </w:r>
    </w:p>
    <w:p w:rsidR="00977ADD" w:rsidRDefault="00977ADD" w:rsidP="00977ADD">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977ADD" w:rsidRDefault="00977ADD" w:rsidP="00977ADD">
      <w:r>
        <w:t xml:space="preserve">Besides a wide range of standard indicators frequently used in the context of European regional policies, ESPON has established various indicators which focus more on the territorial dimension. These indicators provide among others information on the development preconditions of an area. Two standard indicators in this field are rural-urban settings and accessibility. </w:t>
      </w:r>
    </w:p>
    <w:p w:rsidR="00977ADD" w:rsidRDefault="00977ADD" w:rsidP="00977ADD">
      <w:r>
        <w:t xml:space="preserve">Some of Europe’s most important metropolitan areas are either part of the North Sea Region programme area </w:t>
      </w:r>
      <w:r w:rsidR="00CF68E8">
        <w:t>or just neighbouring the area</w:t>
      </w:r>
      <w:r>
        <w:t xml:space="preserve"> thus being of influence. Among them are e.g. London, Amsterdam, Rotterdam and Copenhagen. Furthermore, the programme area comprises a range of other metropolitan areas and secondary growth poles. The below map shows that a large share of the region consists of urban areas or intermediate areas close to a city. Rural areas are mainly to be found in the Nordic part of the programme area and there the rural areas often even are characterised as remote. </w:t>
      </w:r>
    </w:p>
    <w:p w:rsidR="00977ADD" w:rsidRPr="002768FE" w:rsidRDefault="00977ADD" w:rsidP="00977ADD">
      <w:r>
        <w:t>The urban areas of the region host furthermore, a number of important worldwide transport hubs and serve as global gateways for larger parts of Europe. Also when it comes to multimodal accessibility the possibility for one-day business trips within the European urban network, most of the regions urban centres are well placed. As already mentioned in the operational programme for the 2007-2013 period “</w:t>
      </w:r>
      <w:r w:rsidRPr="002768FE">
        <w:t>The position of the North Sea Region in Europe in the transport sector is unique, with the majority of goods passing through the region on their way to other parts of Europe. Accessibility, both of goods and persons, including communications, is an important facet in promoting and maintaining economic growth and employment</w:t>
      </w:r>
      <w:r w:rsidR="00B551ED" w:rsidRPr="002768FE">
        <w:t>. “</w:t>
      </w:r>
    </w:p>
    <w:p w:rsidR="00977ADD" w:rsidRPr="002768FE" w:rsidRDefault="00977ADD" w:rsidP="00977ADD">
      <w:r w:rsidRPr="002768FE">
        <w:t>At the same time</w:t>
      </w:r>
      <w:r>
        <w:t>,</w:t>
      </w:r>
      <w:r w:rsidRPr="002768FE">
        <w:t xml:space="preserve"> the programme area comprises also some regions with the lowest </w:t>
      </w:r>
      <w:r>
        <w:t xml:space="preserve">accessibility values in Europe. In particular the remote rural areas in northern Norway are challenged in terms of multimodal accessibility. </w:t>
      </w:r>
    </w:p>
    <w:p w:rsidR="00977ADD" w:rsidRDefault="00977ADD" w:rsidP="00977ADD">
      <w:pPr>
        <w:numPr>
          <w:ins w:id="1" w:author="Kai Böhme" w:date="2012-10-22T08:40:00Z"/>
        </w:numPr>
      </w:pPr>
      <w:r>
        <w:t xml:space="preserve">With regard to geographic specificities, the programme areas is clearly characterised by coastal areas and islands, but it comprises also a large share of mountain areas in particular in Scotland and Norway. Many of these mountain areas are at the same time characterised as sparsely populated. </w:t>
      </w:r>
    </w:p>
    <w:p w:rsidR="00977ADD" w:rsidRDefault="00977ADD" w:rsidP="00977ADD">
      <w:r>
        <w:t>In particular the coastal character comes with advantages and challenges. Although it does not come with a</w:t>
      </w:r>
      <w:r w:rsidRPr="00082FCD">
        <w:t xml:space="preserve"> </w:t>
      </w:r>
      <w:r>
        <w:t>specific</w:t>
      </w:r>
      <w:r w:rsidRPr="00082FCD">
        <w:t xml:space="preserve"> economic structure, it appears that a significant proportion of </w:t>
      </w:r>
      <w:r>
        <w:t>areas</w:t>
      </w:r>
      <w:r w:rsidRPr="00082FCD">
        <w:t xml:space="preserve"> have high residential attractiveness. </w:t>
      </w:r>
      <w:r>
        <w:t>Furthermore, m</w:t>
      </w:r>
      <w:r w:rsidRPr="00082FCD">
        <w:t xml:space="preserve">any </w:t>
      </w:r>
      <w:r>
        <w:t>coastal</w:t>
      </w:r>
      <w:r w:rsidRPr="00082FCD">
        <w:t xml:space="preserve"> areas are also characterised by relatively high levels of biodiversity and protected areas. Furthermore, </w:t>
      </w:r>
      <w:r>
        <w:t xml:space="preserve">coastal ecosystems </w:t>
      </w:r>
      <w:r w:rsidRPr="00696FC1">
        <w:t>provide not only food but h</w:t>
      </w:r>
      <w:r>
        <w:t>abitats for diverse economic</w:t>
      </w:r>
      <w:r w:rsidRPr="00696FC1">
        <w:t>-valuable and other</w:t>
      </w:r>
      <w:r>
        <w:t xml:space="preserve"> </w:t>
      </w:r>
      <w:r w:rsidRPr="00696FC1">
        <w:t>species</w:t>
      </w:r>
      <w:r w:rsidRPr="00082FCD">
        <w:t>.</w:t>
      </w:r>
      <w:r>
        <w:t xml:space="preserve"> At the same time the high population density and economic activities along some parts of the cost pose also considerable environmental challenges. </w:t>
      </w:r>
    </w:p>
    <w:p w:rsidR="00977ADD" w:rsidRDefault="00977ADD" w:rsidP="00977ADD">
      <w:r>
        <w:t xml:space="preserve">Last but not least, it has to be noted that coastal areas and islands are often particularly vulnerable to climate change. </w:t>
      </w:r>
    </w:p>
    <w:p w:rsidR="003C5D09" w:rsidRDefault="003C5D09" w:rsidP="003C5D09">
      <w:pPr>
        <w:rPr>
          <w:highlight w:val="yellow"/>
        </w:rPr>
      </w:pPr>
    </w:p>
    <w:p w:rsidR="003C5D09" w:rsidRPr="003C5D09" w:rsidRDefault="003C5D09" w:rsidP="003C5D09">
      <w:pPr>
        <w:rPr>
          <w:highlight w:val="yellow"/>
        </w:rPr>
      </w:pPr>
    </w:p>
    <w:p w:rsidR="0019394E" w:rsidRDefault="0019394E" w:rsidP="0019394E">
      <w:pPr>
        <w:spacing w:after="0" w:line="240" w:lineRule="auto"/>
        <w:jc w:val="left"/>
      </w:pPr>
      <w:r>
        <w:br w:type="page"/>
      </w:r>
    </w:p>
    <w:p w:rsidR="006166FD" w:rsidRPr="004E39BD" w:rsidRDefault="0019394E" w:rsidP="006166FD">
      <w:pPr>
        <w:rPr>
          <w:b/>
        </w:rPr>
      </w:pPr>
      <w:r w:rsidRPr="0019394E">
        <w:rPr>
          <w:b/>
          <w:noProof/>
          <w:lang w:eastAsia="en-GB"/>
        </w:rPr>
        <w:t xml:space="preserve">MAP </w:t>
      </w:r>
      <w:r w:rsidR="007221CD">
        <w:rPr>
          <w:b/>
          <w:noProof/>
          <w:lang w:eastAsia="en-GB"/>
        </w:rPr>
        <w:t xml:space="preserve">6 </w:t>
      </w:r>
      <w:r w:rsidRPr="0019394E">
        <w:rPr>
          <w:b/>
          <w:noProof/>
          <w:lang w:eastAsia="en-GB"/>
        </w:rPr>
        <w:t xml:space="preserve">– Urban-rural typology of NUTS3 regions including remoteness (DG Regio) </w:t>
      </w:r>
      <w:r>
        <w:rPr>
          <w:b/>
          <w:noProof/>
          <w:lang w:eastAsia="en-GB"/>
        </w:rPr>
        <w:t xml:space="preserve">for the </w:t>
      </w:r>
      <w:r w:rsidR="006166FD">
        <w:rPr>
          <w:b/>
        </w:rPr>
        <w:t xml:space="preserve">TNC </w:t>
      </w:r>
      <w:r w:rsidR="00B171E1">
        <w:rPr>
          <w:b/>
        </w:rPr>
        <w:t>North Sea</w:t>
      </w:r>
    </w:p>
    <w:p w:rsidR="0089569C" w:rsidRDefault="0089569C" w:rsidP="0089569C">
      <w:pPr>
        <w:spacing w:after="0" w:line="240" w:lineRule="auto"/>
        <w:jc w:val="left"/>
        <w:rPr>
          <w:noProof/>
          <w:lang w:eastAsia="en-GB"/>
        </w:rPr>
      </w:pPr>
    </w:p>
    <w:p w:rsidR="0089569C" w:rsidRDefault="00F166B6" w:rsidP="0089569C">
      <w:pPr>
        <w:spacing w:after="0" w:line="240" w:lineRule="auto"/>
        <w:jc w:val="left"/>
        <w:rPr>
          <w:noProof/>
          <w:lang w:eastAsia="en-GB"/>
        </w:rPr>
      </w:pPr>
      <w:r w:rsidRPr="00F166B6">
        <w:rPr>
          <w:noProof/>
          <w:lang w:val="de-DE" w:eastAsia="de-DE"/>
        </w:rPr>
        <w:pict>
          <v:shape id="_x0000_s1047" style="position:absolute;margin-left:89.55pt;margin-top:3.15pt;width:169.15pt;height:232.3pt;z-index:251695616" coordsize="3383,4646" path="m64,2759c,2868,22,3005,22,3081v-1,77,19,69,35,138c74,3289,109,3425,125,3497v17,72,14,47,36,152c181,3753,202,3985,252,4128v50,142,138,327,212,378c539,4559,638,4420,699,4437v64,17,86,140,140,171c895,4638,956,4646,1033,4621v76,-27,227,-120,267,-165c1340,4411,1234,4372,1269,4349v36,-22,165,-57,242,-25c1589,4357,1667,4541,1736,4545v69,4,143,-126,188,-196c1967,4279,1980,4200,1996,4123v17,-78,22,-177,30,-240c2036,3818,2044,3772,2056,3737v12,-35,6,-39,37,-63c2124,3651,2199,3636,2245,3598v47,-35,102,-89,128,-144c2399,3397,2401,3344,2402,3263v2,-80,8,-188,-17,-289c2358,2874,2287,2743,2245,2659v-44,-84,-90,-117,-122,-189c2093,2398,2052,2328,2066,2226v15,-101,70,-160,148,-366c2292,1654,2398,1189,2537,987,2676,785,2947,747,3051,650v104,-97,58,-181,112,-243c3217,345,3383,341,3378,276,3373,211,3290,,3135,15,2980,30,2645,211,2448,365,2251,519,2067,723,1953,937v-115,214,-82,531,-191,715c1653,1835,1398,1852,1298,2041v-101,189,-159,510,-140,741c1178,3014,1367,3276,1415,3428v49,153,21,203,36,272c1466,3768,1529,3805,1506,3839v-23,32,-128,39,-188,62c1258,3924,1206,3934,1142,3977v-63,44,-155,130,-205,183c886,4211,872,4267,839,4292v-33,25,-93,47,-102,19c726,4283,788,4207,778,4128v-8,-80,-64,-217,-97,-296c649,3753,622,3732,585,3655,547,3580,474,3459,458,3378v-15,-80,17,-139,30,-202c501,3113,531,3065,536,3005v7,-59,-49,-99,-11,-188c561,2728,734,2565,760,2470v27,-95,-13,-214,-72,-221c628,2243,507,2341,404,2426,299,2509,126,2649,64,2759xe" filled="f" strokecolor="#0070c0" strokeweight="2pt">
            <v:path arrowok="t"/>
          </v:shape>
        </w:pict>
      </w:r>
      <w:r w:rsidR="00236800">
        <w:rPr>
          <w:noProof/>
          <w:lang w:val="nb-NO" w:eastAsia="nb-NO"/>
        </w:rPr>
        <w:drawing>
          <wp:inline distT="0" distB="0" distL="0" distR="0">
            <wp:extent cx="5278755" cy="7214065"/>
            <wp:effectExtent l="1905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6166FD" w:rsidRDefault="0019394E" w:rsidP="006166FD">
      <w:pPr>
        <w:rPr>
          <w:b/>
        </w:rPr>
      </w:pPr>
      <w:r w:rsidRPr="0019394E">
        <w:rPr>
          <w:b/>
          <w:noProof/>
          <w:lang w:eastAsia="en-GB"/>
        </w:rPr>
        <w:t xml:space="preserve">MAP </w:t>
      </w:r>
      <w:r w:rsidR="007221CD">
        <w:rPr>
          <w:b/>
          <w:noProof/>
          <w:lang w:eastAsia="en-GB"/>
        </w:rPr>
        <w:t xml:space="preserve">7 – </w:t>
      </w:r>
      <w:r w:rsidRPr="0019394E">
        <w:rPr>
          <w:b/>
          <w:noProof/>
          <w:lang w:eastAsia="en-GB"/>
        </w:rPr>
        <w:t xml:space="preserve">Multimodal accessibilty (ESPON Accessibility Update) </w:t>
      </w:r>
      <w:r>
        <w:rPr>
          <w:b/>
          <w:noProof/>
          <w:lang w:eastAsia="en-GB"/>
        </w:rPr>
        <w:t xml:space="preserve">for the </w:t>
      </w:r>
      <w:r w:rsidR="006166FD">
        <w:rPr>
          <w:b/>
        </w:rPr>
        <w:t xml:space="preserve">TNC </w:t>
      </w:r>
      <w:r w:rsidR="00B171E1">
        <w:rPr>
          <w:b/>
        </w:rPr>
        <w:t>North Sea</w:t>
      </w:r>
    </w:p>
    <w:p w:rsidR="005337C7" w:rsidRPr="00021CAB" w:rsidRDefault="005337C7" w:rsidP="005337C7">
      <w:pPr>
        <w:spacing w:after="240"/>
        <w:rPr>
          <w:i/>
        </w:rPr>
      </w:pPr>
      <w:r w:rsidRPr="00021CAB">
        <w:rPr>
          <w:i/>
        </w:rPr>
        <w:t>“Potential Accessibility Multimodal” scores accessibility of NUTS 3 regions by road, rail and air relative to the European average in an Accessibility Index.</w:t>
      </w:r>
    </w:p>
    <w:p w:rsidR="0089569C" w:rsidRDefault="00F166B6" w:rsidP="0089569C">
      <w:pPr>
        <w:spacing w:after="0" w:line="240" w:lineRule="auto"/>
        <w:jc w:val="left"/>
        <w:rPr>
          <w:noProof/>
          <w:lang w:eastAsia="en-GB"/>
        </w:rPr>
      </w:pPr>
      <w:r w:rsidRPr="00F166B6">
        <w:rPr>
          <w:i/>
          <w:noProof/>
          <w:lang w:val="de-DE" w:eastAsia="de-DE"/>
        </w:rPr>
        <w:pict>
          <v:shape id="_x0000_s1048" style="position:absolute;margin-left:90.75pt;margin-top:2.75pt;width:169.05pt;height:234.8pt;z-index:251696640" coordsize="3381,4696" path="m64,2809c,2918,22,3055,22,3131v-1,77,19,69,35,138c74,3339,109,3475,125,3547v17,72,14,47,36,152c181,3803,202,4035,252,4178v50,142,138,327,212,378c539,4609,638,4470,699,4487v64,17,86,140,140,171c895,4688,956,4696,1033,4671v76,-27,227,-120,267,-165c1340,4461,1234,4422,1269,4399v36,-22,165,-57,242,-25c1589,4407,1667,4591,1736,4595v69,4,143,-126,188,-196c1967,4329,1980,4250,1996,4173v17,-78,22,-177,30,-240c2036,3868,2044,3822,2056,3787v12,-35,6,-39,37,-63c2124,3701,2199,3686,2245,3648v47,-35,102,-89,128,-144c2399,3447,2401,3394,2402,3313v2,-80,8,-188,-17,-289c2358,2924,2287,2793,2245,2709v-44,-84,-90,-117,-122,-189c2093,2448,2052,2378,2066,2276v15,-101,78,-149,148,-366c2284,1693,2346,1178,2485,976,2624,774,2945,798,3051,700v106,-98,15,-251,69,-313c3174,325,3375,390,3378,326,3381,262,3305,,3139,4,2973,8,2589,193,2382,350,2175,507,1999,723,1896,948v-103,225,-34,563,-134,754c1662,1893,1398,1902,1298,2091v-101,189,-159,510,-140,741c1178,3064,1367,3326,1415,3478v49,153,21,203,36,272c1466,3818,1529,3855,1506,3889v-23,32,-128,39,-188,62c1258,3974,1206,3984,1142,4027v-63,44,-155,130,-205,183c886,4261,872,4317,839,4342v-33,25,-93,47,-102,19c726,4333,788,4257,778,4178v-8,-80,-64,-217,-97,-296c649,3803,622,3782,585,3705,547,3630,474,3509,458,3428v-15,-80,17,-139,30,-202c501,3163,531,3115,536,3055v7,-59,-49,-99,-11,-188c561,2778,734,2615,760,2520v27,-95,-13,-214,-72,-221c628,2293,507,2391,404,2476,299,2559,126,2699,64,2809xe" filled="f" strokecolor="#0070c0" strokeweight="2pt">
            <v:path arrowok="t"/>
          </v:shape>
        </w:pict>
      </w:r>
      <w:r w:rsidR="00B75D6B">
        <w:rPr>
          <w:noProof/>
          <w:lang w:val="nb-NO" w:eastAsia="nb-NO"/>
        </w:rPr>
        <w:drawing>
          <wp:inline distT="0" distB="0" distL="0" distR="0">
            <wp:extent cx="5278755" cy="7444105"/>
            <wp:effectExtent l="19050" t="0" r="0" b="0"/>
            <wp:docPr id="19" name="Grafik 18" descr="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7.jpg"/>
                    <pic:cNvPicPr/>
                  </pic:nvPicPr>
                  <pic:blipFill>
                    <a:blip r:embed="rId23"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977ADD" w:rsidRDefault="0019394E" w:rsidP="0019394E">
      <w:pPr>
        <w:pStyle w:val="Overskrift1"/>
      </w:pPr>
      <w:r w:rsidRPr="00977ADD">
        <w:t xml:space="preserve">Recommended ESPON reading </w:t>
      </w:r>
    </w:p>
    <w:p w:rsidR="00977ADD" w:rsidRDefault="00977ADD" w:rsidP="00977ADD">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977ADD" w:rsidRDefault="00977ADD" w:rsidP="00977ADD">
      <w:r>
        <w:t>The table below shows examples of relevant projects for the Cooperation Region. However, you have to study other ESPON reports as well in order to capitalise fully on the European information available for the transnational programming.</w:t>
      </w:r>
    </w:p>
    <w:tbl>
      <w:tblPr>
        <w:tblW w:w="9923"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7"/>
        <w:gridCol w:w="1275"/>
        <w:gridCol w:w="7371"/>
      </w:tblGrid>
      <w:tr w:rsidR="00977ADD" w:rsidRPr="009E51EE" w:rsidTr="0018066C">
        <w:trPr>
          <w:trHeight w:val="203"/>
        </w:trPr>
        <w:tc>
          <w:tcPr>
            <w:tcW w:w="1277" w:type="dxa"/>
            <w:shd w:val="clear" w:color="auto" w:fill="auto"/>
          </w:tcPr>
          <w:p w:rsidR="00977ADD" w:rsidRPr="009E51EE" w:rsidRDefault="00977ADD" w:rsidP="0018066C">
            <w:pPr>
              <w:spacing w:after="0" w:line="20" w:lineRule="atLeast"/>
              <w:rPr>
                <w:b/>
                <w:sz w:val="15"/>
                <w:szCs w:val="20"/>
              </w:rPr>
            </w:pPr>
            <w:r w:rsidRPr="009E51EE">
              <w:rPr>
                <w:b/>
                <w:sz w:val="15"/>
                <w:szCs w:val="20"/>
              </w:rPr>
              <w:t>ESPON study</w:t>
            </w:r>
          </w:p>
        </w:tc>
        <w:tc>
          <w:tcPr>
            <w:tcW w:w="1275" w:type="dxa"/>
            <w:shd w:val="clear" w:color="auto" w:fill="auto"/>
          </w:tcPr>
          <w:p w:rsidR="00977ADD" w:rsidRPr="009E51EE" w:rsidRDefault="00977ADD" w:rsidP="0018066C">
            <w:pPr>
              <w:spacing w:after="0" w:line="20" w:lineRule="atLeast"/>
              <w:rPr>
                <w:b/>
                <w:sz w:val="15"/>
                <w:szCs w:val="20"/>
              </w:rPr>
            </w:pPr>
            <w:r w:rsidRPr="009E51EE">
              <w:rPr>
                <w:b/>
                <w:sz w:val="15"/>
                <w:szCs w:val="20"/>
              </w:rPr>
              <w:t>Topic</w:t>
            </w:r>
          </w:p>
        </w:tc>
        <w:tc>
          <w:tcPr>
            <w:tcW w:w="7371" w:type="dxa"/>
            <w:shd w:val="clear" w:color="auto" w:fill="auto"/>
          </w:tcPr>
          <w:p w:rsidR="00977ADD" w:rsidRPr="009E51EE" w:rsidRDefault="00977ADD" w:rsidP="0018066C">
            <w:pPr>
              <w:spacing w:after="0" w:line="20" w:lineRule="atLeast"/>
              <w:rPr>
                <w:b/>
                <w:sz w:val="15"/>
                <w:szCs w:val="20"/>
              </w:rPr>
            </w:pPr>
            <w:r w:rsidRPr="009E51EE">
              <w:rPr>
                <w:b/>
                <w:sz w:val="15"/>
                <w:szCs w:val="20"/>
              </w:rPr>
              <w:t>Content</w:t>
            </w:r>
          </w:p>
        </w:tc>
      </w:tr>
      <w:tr w:rsidR="00977ADD" w:rsidRPr="009E51EE" w:rsidTr="0018066C">
        <w:trPr>
          <w:trHeight w:val="274"/>
        </w:trPr>
        <w:tc>
          <w:tcPr>
            <w:tcW w:w="1277" w:type="dxa"/>
            <w:shd w:val="clear" w:color="auto" w:fill="FFFFFF" w:themeFill="background1"/>
          </w:tcPr>
          <w:p w:rsidR="00977ADD" w:rsidRPr="009E51EE" w:rsidRDefault="00977ADD" w:rsidP="0018066C">
            <w:pPr>
              <w:spacing w:after="0" w:line="20" w:lineRule="atLeast"/>
              <w:rPr>
                <w:rFonts w:cs="Calibri"/>
                <w:sz w:val="15"/>
                <w:szCs w:val="18"/>
                <w:lang w:eastAsia="fr-FR"/>
              </w:rPr>
            </w:pPr>
            <w:r w:rsidRPr="009E51EE">
              <w:rPr>
                <w:rFonts w:cs="Calibri"/>
                <w:sz w:val="15"/>
                <w:szCs w:val="18"/>
                <w:lang w:eastAsia="fr-FR"/>
              </w:rPr>
              <w:t xml:space="preserve">TRANSMEC </w:t>
            </w:r>
          </w:p>
        </w:tc>
        <w:tc>
          <w:tcPr>
            <w:tcW w:w="1275" w:type="dxa"/>
            <w:shd w:val="clear" w:color="auto" w:fill="FFFFFF" w:themeFill="background1"/>
          </w:tcPr>
          <w:p w:rsidR="00977ADD" w:rsidRPr="009E51EE" w:rsidRDefault="00977ADD" w:rsidP="0018066C">
            <w:pPr>
              <w:spacing w:after="0" w:line="20" w:lineRule="atLeast"/>
              <w:jc w:val="left"/>
              <w:rPr>
                <w:rFonts w:cs="Calibri"/>
                <w:sz w:val="15"/>
                <w:szCs w:val="18"/>
                <w:lang w:eastAsia="fr-FR"/>
              </w:rPr>
            </w:pPr>
            <w:r w:rsidRPr="009E51EE">
              <w:rPr>
                <w:rFonts w:cs="Calibri"/>
                <w:sz w:val="15"/>
                <w:szCs w:val="18"/>
                <w:lang w:eastAsia="fr-FR"/>
              </w:rPr>
              <w:t>European cooperation</w:t>
            </w:r>
          </w:p>
        </w:tc>
        <w:tc>
          <w:tcPr>
            <w:tcW w:w="7371"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It develops a method providing guidance on how ESPON results can add value to support territorial cooperation programmes (see map 27 and from map 36 to 39 on potential accessibility indicators). The method is applied for the Northwest-Europe cooperation area.</w:t>
            </w:r>
          </w:p>
        </w:tc>
      </w:tr>
      <w:tr w:rsidR="00977ADD" w:rsidRPr="009E51EE" w:rsidTr="0018066C">
        <w:trPr>
          <w:trHeight w:val="274"/>
        </w:trPr>
        <w:tc>
          <w:tcPr>
            <w:tcW w:w="1277"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 xml:space="preserve">SGPTD </w:t>
            </w:r>
          </w:p>
        </w:tc>
        <w:tc>
          <w:tcPr>
            <w:tcW w:w="1275" w:type="dxa"/>
            <w:shd w:val="clear" w:color="auto" w:fill="FFFFFF" w:themeFill="background1"/>
          </w:tcPr>
          <w:p w:rsidR="00977ADD" w:rsidRPr="009E51EE" w:rsidRDefault="00977ADD" w:rsidP="0018066C">
            <w:pPr>
              <w:spacing w:after="0" w:line="20" w:lineRule="atLeast"/>
              <w:jc w:val="left"/>
              <w:rPr>
                <w:rFonts w:cs="Calibri"/>
                <w:sz w:val="15"/>
                <w:szCs w:val="18"/>
                <w:lang w:eastAsia="fr-FR"/>
              </w:rPr>
            </w:pPr>
            <w:r w:rsidRPr="009E51EE">
              <w:rPr>
                <w:rFonts w:cs="Calibri"/>
                <w:sz w:val="15"/>
                <w:szCs w:val="18"/>
                <w:lang w:eastAsia="fr-FR"/>
              </w:rPr>
              <w:t>Growth poles</w:t>
            </w:r>
          </w:p>
        </w:tc>
        <w:tc>
          <w:tcPr>
            <w:tcW w:w="7371"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It provides evidence on European secondary cities, their performance and functional roles in different parts of Europe, and the potential policy intervention affecting their performance (see from figure 2 to 2.12). The report includes a case study on Leeds, in the UK (annex of the Scientific Report).</w:t>
            </w:r>
          </w:p>
        </w:tc>
      </w:tr>
      <w:tr w:rsidR="00977ADD" w:rsidRPr="009E51EE" w:rsidTr="0018066C">
        <w:trPr>
          <w:trHeight w:val="274"/>
        </w:trPr>
        <w:tc>
          <w:tcPr>
            <w:tcW w:w="1277"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 xml:space="preserve">ATTREG </w:t>
            </w:r>
          </w:p>
        </w:tc>
        <w:tc>
          <w:tcPr>
            <w:tcW w:w="1275" w:type="dxa"/>
            <w:shd w:val="clear" w:color="auto" w:fill="FFFFFF" w:themeFill="background1"/>
          </w:tcPr>
          <w:p w:rsidR="00977ADD" w:rsidRPr="009E51EE" w:rsidRDefault="00977ADD" w:rsidP="0018066C">
            <w:pPr>
              <w:spacing w:after="0" w:line="20" w:lineRule="atLeast"/>
              <w:jc w:val="left"/>
              <w:rPr>
                <w:rFonts w:cs="Calibri"/>
                <w:sz w:val="15"/>
                <w:szCs w:val="18"/>
                <w:lang w:eastAsia="fr-FR"/>
              </w:rPr>
            </w:pPr>
            <w:r w:rsidRPr="009E51EE">
              <w:rPr>
                <w:rFonts w:cs="Calibri"/>
                <w:sz w:val="15"/>
                <w:szCs w:val="18"/>
                <w:lang w:eastAsia="fr-FR"/>
              </w:rPr>
              <w:t>Attractiveness</w:t>
            </w:r>
          </w:p>
        </w:tc>
        <w:tc>
          <w:tcPr>
            <w:tcW w:w="7371"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It provides a better understanding of the contribution of European regions’ and cities’ attractiveness to economic performance and it identifies the key ingredients of attractiveness in different types of territories. The report includes a case study on the island of Bornholm, in Denmark (see Annex 4/2).</w:t>
            </w:r>
          </w:p>
        </w:tc>
      </w:tr>
      <w:tr w:rsidR="00977ADD" w:rsidRPr="009E51EE" w:rsidTr="0018066C">
        <w:trPr>
          <w:trHeight w:val="274"/>
        </w:trPr>
        <w:tc>
          <w:tcPr>
            <w:tcW w:w="1277"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GEOSPECS</w:t>
            </w:r>
          </w:p>
        </w:tc>
        <w:tc>
          <w:tcPr>
            <w:tcW w:w="1275" w:type="dxa"/>
            <w:shd w:val="clear" w:color="auto" w:fill="FFFFFF" w:themeFill="background1"/>
          </w:tcPr>
          <w:p w:rsidR="00977ADD" w:rsidRPr="009E51EE" w:rsidRDefault="00977ADD" w:rsidP="0018066C">
            <w:pPr>
              <w:spacing w:after="0" w:line="20" w:lineRule="atLeast"/>
              <w:jc w:val="left"/>
              <w:rPr>
                <w:rFonts w:cs="Calibri"/>
                <w:sz w:val="15"/>
                <w:szCs w:val="18"/>
                <w:lang w:eastAsia="fr-FR"/>
              </w:rPr>
            </w:pPr>
            <w:r w:rsidRPr="009E51EE">
              <w:rPr>
                <w:rFonts w:cs="Calibri"/>
                <w:sz w:val="15"/>
                <w:szCs w:val="18"/>
                <w:lang w:eastAsia="fr-FR"/>
              </w:rPr>
              <w:t>Specific types of territories</w:t>
            </w:r>
          </w:p>
        </w:tc>
        <w:tc>
          <w:tcPr>
            <w:tcW w:w="7371"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 xml:space="preserve">It provides evidence on the strength, weaknesses and development opportunities of specific types of territories and regions (e.g. border areas, highly or sparsely populated areas). The project focuses on the Belgian coast as a case study. </w:t>
            </w:r>
          </w:p>
        </w:tc>
      </w:tr>
      <w:tr w:rsidR="00977ADD" w:rsidRPr="009E51EE" w:rsidTr="0018066C">
        <w:trPr>
          <w:trHeight w:val="274"/>
        </w:trPr>
        <w:tc>
          <w:tcPr>
            <w:tcW w:w="1277"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 xml:space="preserve">ReRisk </w:t>
            </w:r>
          </w:p>
        </w:tc>
        <w:tc>
          <w:tcPr>
            <w:tcW w:w="1275" w:type="dxa"/>
            <w:shd w:val="clear" w:color="auto" w:fill="FFFFFF" w:themeFill="background1"/>
          </w:tcPr>
          <w:p w:rsidR="00977ADD" w:rsidRPr="009E51EE" w:rsidRDefault="00977ADD" w:rsidP="0018066C">
            <w:pPr>
              <w:spacing w:after="0" w:line="20" w:lineRule="atLeast"/>
              <w:jc w:val="left"/>
              <w:rPr>
                <w:rFonts w:cs="Calibri"/>
                <w:sz w:val="15"/>
                <w:szCs w:val="18"/>
                <w:lang w:eastAsia="fr-FR"/>
              </w:rPr>
            </w:pPr>
            <w:r w:rsidRPr="009E51EE">
              <w:rPr>
                <w:rFonts w:cs="Calibri"/>
                <w:sz w:val="15"/>
                <w:szCs w:val="18"/>
                <w:lang w:eastAsia="fr-FR"/>
              </w:rPr>
              <w:t>Energy</w:t>
            </w:r>
          </w:p>
        </w:tc>
        <w:tc>
          <w:tcPr>
            <w:tcW w:w="7371"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 xml:space="preserve">It focuses on opportunities to support competitive and clean energy supplies for regions in Europe and to generate and strengthen sustainable energy sources. It includes a case study of the Island of Samsø, in Denmark.  </w:t>
            </w:r>
          </w:p>
        </w:tc>
      </w:tr>
      <w:tr w:rsidR="00977ADD" w:rsidRPr="009E51EE" w:rsidTr="0018066C">
        <w:trPr>
          <w:trHeight w:val="274"/>
        </w:trPr>
        <w:tc>
          <w:tcPr>
            <w:tcW w:w="1277"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 xml:space="preserve">TERCO </w:t>
            </w:r>
          </w:p>
        </w:tc>
        <w:tc>
          <w:tcPr>
            <w:tcW w:w="1275" w:type="dxa"/>
            <w:shd w:val="clear" w:color="auto" w:fill="FFFFFF" w:themeFill="background1"/>
          </w:tcPr>
          <w:p w:rsidR="00977ADD" w:rsidRPr="009E51EE" w:rsidRDefault="00977ADD" w:rsidP="0018066C">
            <w:pPr>
              <w:spacing w:after="0" w:line="20" w:lineRule="atLeast"/>
              <w:jc w:val="left"/>
              <w:rPr>
                <w:rFonts w:cs="Calibri"/>
                <w:sz w:val="15"/>
                <w:szCs w:val="18"/>
                <w:lang w:eastAsia="fr-FR"/>
              </w:rPr>
            </w:pPr>
            <w:r w:rsidRPr="009E51EE">
              <w:rPr>
                <w:rFonts w:cs="Calibri"/>
                <w:sz w:val="15"/>
                <w:szCs w:val="18"/>
                <w:lang w:eastAsia="fr-FR"/>
              </w:rPr>
              <w:t>Territorial cooperation</w:t>
            </w:r>
          </w:p>
        </w:tc>
        <w:tc>
          <w:tcPr>
            <w:tcW w:w="7371"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It provides an assessment of the adequacy of existing territorial cooperation areas for meeting current challenges of territorial development and a proposal of potentially meaningful new cooperation areas throughout Europe. The project analyses the region of “Scotland-Sweden-Norway” as a case study (see 2.3.5 in the Scientific Report).</w:t>
            </w:r>
          </w:p>
        </w:tc>
      </w:tr>
      <w:tr w:rsidR="00977ADD" w:rsidRPr="009E51EE" w:rsidTr="0018066C">
        <w:trPr>
          <w:trHeight w:val="274"/>
        </w:trPr>
        <w:tc>
          <w:tcPr>
            <w:tcW w:w="1277"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 xml:space="preserve">KIT </w:t>
            </w:r>
          </w:p>
        </w:tc>
        <w:tc>
          <w:tcPr>
            <w:tcW w:w="1275" w:type="dxa"/>
            <w:shd w:val="clear" w:color="auto" w:fill="FFFFFF" w:themeFill="background1"/>
          </w:tcPr>
          <w:p w:rsidR="00977ADD" w:rsidRPr="009E51EE" w:rsidRDefault="00977ADD" w:rsidP="0018066C">
            <w:pPr>
              <w:spacing w:after="0" w:line="20" w:lineRule="atLeast"/>
              <w:jc w:val="left"/>
              <w:rPr>
                <w:rFonts w:cs="Calibri"/>
                <w:sz w:val="15"/>
                <w:szCs w:val="18"/>
                <w:lang w:eastAsia="fr-FR"/>
              </w:rPr>
            </w:pPr>
            <w:r w:rsidRPr="009E51EE">
              <w:rPr>
                <w:rFonts w:cs="Calibri"/>
                <w:sz w:val="15"/>
                <w:szCs w:val="18"/>
                <w:lang w:eastAsia="fr-FR"/>
              </w:rPr>
              <w:t xml:space="preserve">Innovation </w:t>
            </w:r>
          </w:p>
        </w:tc>
        <w:tc>
          <w:tcPr>
            <w:tcW w:w="7371"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It takes into account the current state, patterns and potentials of regions with respect to the knowledge and innovation economy and identifies new development opportunities through innovation for Europe and its territories (see from map 3.1.1 to 4.4.1). The case studies include ICT in Cambridge (volume 2 of the annex of the scientific report), and TV and digital media in Cardiff (volume 3 of the annex of the scientific report).</w:t>
            </w:r>
          </w:p>
        </w:tc>
      </w:tr>
      <w:tr w:rsidR="00977ADD" w:rsidRPr="009E51EE" w:rsidTr="0018066C">
        <w:tblPrEx>
          <w:shd w:val="clear" w:color="auto" w:fill="auto"/>
        </w:tblPrEx>
        <w:trPr>
          <w:trHeight w:val="510"/>
        </w:trPr>
        <w:tc>
          <w:tcPr>
            <w:tcW w:w="1277" w:type="dxa"/>
          </w:tcPr>
          <w:p w:rsidR="00977ADD" w:rsidRPr="009E51EE" w:rsidRDefault="00977ADD" w:rsidP="0018066C">
            <w:pPr>
              <w:spacing w:after="0" w:line="20" w:lineRule="atLeast"/>
              <w:rPr>
                <w:sz w:val="15"/>
                <w:szCs w:val="18"/>
              </w:rPr>
            </w:pPr>
            <w:r w:rsidRPr="009E51EE">
              <w:rPr>
                <w:sz w:val="15"/>
                <w:szCs w:val="18"/>
              </w:rPr>
              <w:t>RISE</w:t>
            </w:r>
          </w:p>
        </w:tc>
        <w:tc>
          <w:tcPr>
            <w:tcW w:w="1275" w:type="dxa"/>
          </w:tcPr>
          <w:p w:rsidR="00977ADD" w:rsidRPr="009E51EE" w:rsidRDefault="00977ADD" w:rsidP="0018066C">
            <w:pPr>
              <w:spacing w:after="0" w:line="20" w:lineRule="atLeast"/>
              <w:jc w:val="left"/>
              <w:rPr>
                <w:rFonts w:cs="Calibri"/>
                <w:sz w:val="15"/>
                <w:szCs w:val="18"/>
                <w:lang w:eastAsia="fr-FR"/>
              </w:rPr>
            </w:pPr>
            <w:r w:rsidRPr="009E51EE">
              <w:rPr>
                <w:rFonts w:cs="Calibri"/>
                <w:sz w:val="15"/>
                <w:szCs w:val="18"/>
                <w:lang w:eastAsia="fr-FR"/>
              </w:rPr>
              <w:t>Integrated strategies</w:t>
            </w:r>
          </w:p>
        </w:tc>
        <w:tc>
          <w:tcPr>
            <w:tcW w:w="7371" w:type="dxa"/>
          </w:tcPr>
          <w:p w:rsidR="00977ADD" w:rsidRPr="009E51EE" w:rsidRDefault="00977ADD" w:rsidP="0018066C">
            <w:pPr>
              <w:spacing w:after="0" w:line="20" w:lineRule="atLeast"/>
              <w:rPr>
                <w:sz w:val="15"/>
                <w:szCs w:val="18"/>
              </w:rPr>
            </w:pPr>
            <w:r w:rsidRPr="009E51EE">
              <w:rPr>
                <w:sz w:val="15"/>
                <w:szCs w:val="18"/>
              </w:rPr>
              <w:t>It shows how monitoring and evaluation indicators and methodologies can be used to enhance the development of Regional Integrated Strategies. The case studies include Randstad, in the Netherlands, and Zealand, in Denmark.</w:t>
            </w:r>
          </w:p>
        </w:tc>
      </w:tr>
      <w:tr w:rsidR="00977ADD" w:rsidRPr="009E51EE" w:rsidTr="0018066C">
        <w:trPr>
          <w:trHeight w:val="274"/>
        </w:trPr>
        <w:tc>
          <w:tcPr>
            <w:tcW w:w="1277"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 xml:space="preserve">TPM </w:t>
            </w:r>
          </w:p>
        </w:tc>
        <w:tc>
          <w:tcPr>
            <w:tcW w:w="1275" w:type="dxa"/>
            <w:shd w:val="clear" w:color="auto" w:fill="FFFFFF" w:themeFill="background1"/>
          </w:tcPr>
          <w:p w:rsidR="00977ADD" w:rsidRPr="009E51EE" w:rsidRDefault="00977ADD" w:rsidP="0018066C">
            <w:pPr>
              <w:spacing w:after="0" w:line="20" w:lineRule="atLeast"/>
              <w:jc w:val="left"/>
              <w:rPr>
                <w:rFonts w:cs="Calibri"/>
                <w:sz w:val="15"/>
                <w:szCs w:val="18"/>
                <w:lang w:eastAsia="fr-FR"/>
              </w:rPr>
            </w:pPr>
            <w:r w:rsidRPr="009E51EE">
              <w:rPr>
                <w:rFonts w:cs="Calibri"/>
                <w:sz w:val="15"/>
                <w:szCs w:val="18"/>
                <w:lang w:eastAsia="fr-FR"/>
              </w:rPr>
              <w:t>Territorial performance</w:t>
            </w:r>
          </w:p>
        </w:tc>
        <w:tc>
          <w:tcPr>
            <w:tcW w:w="7371"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The project analysis how territorial impacts of macro challenges translate at the regional level and how to best deal with these challenges. The project provides a regional case study on the Flanders, in Belgium (see the Annex “Vlaanderen”).</w:t>
            </w:r>
          </w:p>
        </w:tc>
      </w:tr>
      <w:tr w:rsidR="00977ADD" w:rsidRPr="009E51EE" w:rsidTr="0018066C">
        <w:trPr>
          <w:trHeight w:val="274"/>
        </w:trPr>
        <w:tc>
          <w:tcPr>
            <w:tcW w:w="1277"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EUROISLANDS</w:t>
            </w:r>
          </w:p>
        </w:tc>
        <w:tc>
          <w:tcPr>
            <w:tcW w:w="1275" w:type="dxa"/>
            <w:shd w:val="clear" w:color="auto" w:fill="FFFFFF" w:themeFill="background1"/>
          </w:tcPr>
          <w:p w:rsidR="00977ADD" w:rsidRPr="009E51EE" w:rsidRDefault="00977ADD" w:rsidP="0018066C">
            <w:pPr>
              <w:spacing w:after="0" w:line="20" w:lineRule="atLeast"/>
              <w:rPr>
                <w:rFonts w:cs="Calibri"/>
                <w:sz w:val="15"/>
                <w:szCs w:val="18"/>
                <w:lang w:eastAsia="fr-FR"/>
              </w:rPr>
            </w:pPr>
            <w:r w:rsidRPr="009E51EE">
              <w:rPr>
                <w:rFonts w:cs="Calibri"/>
                <w:sz w:val="15"/>
                <w:szCs w:val="18"/>
                <w:lang w:eastAsia="fr-FR"/>
              </w:rPr>
              <w:t>Islands</w:t>
            </w:r>
          </w:p>
        </w:tc>
        <w:tc>
          <w:tcPr>
            <w:tcW w:w="7371"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 xml:space="preserve">It gives evidence on the divergence of island's situation and on existing policy measures for the islands. The project includes a case study on Samsø. </w:t>
            </w:r>
          </w:p>
        </w:tc>
      </w:tr>
    </w:tbl>
    <w:p w:rsidR="00977ADD" w:rsidRDefault="00977ADD" w:rsidP="00977ADD">
      <w:r>
        <w:t>Furthermore, some of overall ESPON products of particular interest for territorial cooperation are:</w:t>
      </w:r>
    </w:p>
    <w:p w:rsidR="00977ADD" w:rsidRDefault="00977ADD" w:rsidP="00977ADD">
      <w:pPr>
        <w:pStyle w:val="Listeavsnitt"/>
        <w:numPr>
          <w:ilvl w:val="0"/>
          <w:numId w:val="4"/>
        </w:numPr>
      </w:pPr>
      <w:r w:rsidRPr="00112693">
        <w:rPr>
          <w:b/>
        </w:rPr>
        <w:t>ESPON Synthesis report</w:t>
      </w:r>
      <w:r>
        <w:t xml:space="preserve"> “new evidence on smart, sustainable and inclusive territories” provides an easy to read overview on ESPON results available. </w:t>
      </w:r>
    </w:p>
    <w:p w:rsidR="00977ADD" w:rsidRDefault="00977ADD" w:rsidP="00977ADD">
      <w:pPr>
        <w:pStyle w:val="Listeavsnitt"/>
        <w:numPr>
          <w:ilvl w:val="0"/>
          <w:numId w:val="4"/>
        </w:numPr>
      </w:pPr>
      <w:r w:rsidRPr="00112693">
        <w:rPr>
          <w:b/>
        </w:rPr>
        <w:t>ESPON Territorial Observations</w:t>
      </w:r>
      <w:r>
        <w:t xml:space="preserve"> is a publication series, which on a few pages presents policy relevant findings deriving from latest ESPON research. </w:t>
      </w:r>
    </w:p>
    <w:p w:rsidR="00977ADD" w:rsidRPr="00A33083" w:rsidRDefault="00977ADD" w:rsidP="00977ADD">
      <w:pPr>
        <w:pStyle w:val="Listeavsnitt"/>
        <w:numPr>
          <w:ilvl w:val="0"/>
          <w:numId w:val="4"/>
        </w:numPr>
      </w:pPr>
      <w:r w:rsidRPr="00112693">
        <w:rPr>
          <w:b/>
        </w:rPr>
        <w:t>ESPON 2013 Database</w:t>
      </w:r>
      <w:r w:rsidRPr="00A33083">
        <w:t xml:space="preserve"> provides regional information provided by </w:t>
      </w:r>
      <w:hyperlink r:id="rId24" w:history="1">
        <w:r w:rsidRPr="00A33083">
          <w:t>ESPON projects</w:t>
        </w:r>
      </w:hyperlink>
      <w:r w:rsidRPr="00A33083">
        <w:t xml:space="preserve"> and </w:t>
      </w:r>
      <w:hyperlink r:id="rId25" w:history="1">
        <w:r w:rsidRPr="00A33083">
          <w:t>EUROSTAT</w:t>
        </w:r>
      </w:hyperlink>
      <w:r w:rsidRPr="00A33083">
        <w:t xml:space="preserve">. </w:t>
      </w:r>
    </w:p>
    <w:p w:rsidR="00977ADD" w:rsidRDefault="00977ADD" w:rsidP="00977ADD">
      <w:pPr>
        <w:pStyle w:val="Listeavsnitt"/>
        <w:numPr>
          <w:ilvl w:val="0"/>
          <w:numId w:val="4"/>
        </w:numPr>
      </w:pPr>
      <w:r w:rsidRPr="00112693">
        <w:rPr>
          <w:b/>
        </w:rPr>
        <w:t>ESPON Hyperaltas</w:t>
      </w:r>
      <w:r w:rsidRPr="000B4718">
        <w:t xml:space="preserve"> </w:t>
      </w:r>
      <w:r>
        <w:t xml:space="preserve">allows </w:t>
      </w:r>
      <w:r w:rsidR="00B551ED">
        <w:t>comparing and analysing</w:t>
      </w:r>
      <w:r>
        <w:t xml:space="preserve"> a</w:t>
      </w:r>
      <w:r w:rsidRPr="000B4718">
        <w:t xml:space="preserve"> region’s relative position at European, national and local scale for a </w:t>
      </w:r>
      <w:r>
        <w:t>wide range of</w:t>
      </w:r>
      <w:r w:rsidRPr="000B4718">
        <w:t xml:space="preserve"> criteria.</w:t>
      </w:r>
    </w:p>
    <w:p w:rsidR="00977ADD" w:rsidRPr="00CD642B" w:rsidRDefault="00977ADD" w:rsidP="00977ADD">
      <w:pPr>
        <w:pStyle w:val="Listeavsnitt"/>
        <w:numPr>
          <w:ilvl w:val="0"/>
          <w:numId w:val="4"/>
        </w:numPr>
      </w:pPr>
      <w:r w:rsidRPr="00112693">
        <w:rPr>
          <w:b/>
        </w:rPr>
        <w:t>ESPON MapFinder</w:t>
      </w:r>
      <w:r w:rsidRPr="00CD642B">
        <w:t xml:space="preserve"> provides access to the most relevant ESPON maps resulting from ESPON projects and reports. </w:t>
      </w:r>
    </w:p>
    <w:p w:rsidR="00977ADD" w:rsidRDefault="00977ADD" w:rsidP="00977ADD">
      <w:pPr>
        <w:pStyle w:val="Listeavsnitt"/>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9A43BF" w:rsidRDefault="00977ADD" w:rsidP="00977ADD">
      <w:pPr>
        <w:jc w:val="center"/>
        <w:rPr>
          <w:b/>
        </w:rPr>
      </w:pPr>
      <w:r w:rsidRPr="00CD642B">
        <w:t>All ESPON reports and tools are freely available at</w:t>
      </w:r>
      <w:r>
        <w:br/>
      </w:r>
      <w:hyperlink r:id="rId26" w:history="1">
        <w:r w:rsidR="009A43BF" w:rsidRPr="00BF78A5">
          <w:rPr>
            <w:rStyle w:val="Hyperkobling"/>
            <w:b/>
          </w:rPr>
          <w:t>www.espon.eu</w:t>
        </w:r>
      </w:hyperlink>
    </w:p>
    <w:p w:rsidR="003C5D09" w:rsidRPr="00345B16" w:rsidRDefault="009A43BF" w:rsidP="00345B16">
      <w:pPr>
        <w:spacing w:after="0" w:line="240" w:lineRule="auto"/>
        <w:jc w:val="left"/>
        <w:rPr>
          <w:b/>
        </w:rPr>
      </w:pPr>
      <w:r>
        <w:rPr>
          <w:b/>
        </w:rPr>
        <w:br w:type="page"/>
      </w:r>
    </w:p>
    <w:p w:rsidR="00BC65E1" w:rsidRPr="00127102" w:rsidRDefault="001B300C" w:rsidP="00BC65E1">
      <w:pPr>
        <w:pStyle w:val="ESPONText"/>
        <w:rPr>
          <w:rFonts w:ascii="Arial" w:hAnsi="Arial" w:cs="Arial"/>
        </w:rPr>
      </w:pPr>
      <w:r>
        <w:rPr>
          <w:rFonts w:ascii="Arial" w:hAnsi="Arial" w:cs="Arial"/>
          <w:noProof/>
          <w:lang w:val="nb-NO" w:eastAsia="nb-NO"/>
        </w:rPr>
        <w:drawing>
          <wp:anchor distT="0" distB="0" distL="114300" distR="114300" simplePos="0" relativeHeight="251656704" behindDoc="0" locked="0" layoutInCell="1" allowOverlap="1">
            <wp:simplePos x="0" y="0"/>
            <wp:positionH relativeFrom="column">
              <wp:posOffset>-609600</wp:posOffset>
            </wp:positionH>
            <wp:positionV relativeFrom="paragraph">
              <wp:posOffset>-914400</wp:posOffset>
            </wp:positionV>
            <wp:extent cx="7595235" cy="10693400"/>
            <wp:effectExtent l="25400" t="0" r="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7" cstate="print"/>
                    <a:srcRect r="50919"/>
                    <a:stretch>
                      <a:fillRect/>
                    </a:stretch>
                  </pic:blipFill>
                  <pic:spPr bwMode="auto">
                    <a:xfrm>
                      <a:off x="0" y="0"/>
                      <a:ext cx="7595235" cy="10693400"/>
                    </a:xfrm>
                    <a:prstGeom prst="rect">
                      <a:avLst/>
                    </a:prstGeom>
                    <a:noFill/>
                    <a:ln w="9525">
                      <a:noFill/>
                      <a:miter lim="800000"/>
                      <a:headEnd/>
                      <a:tailEnd/>
                    </a:ln>
                  </pic:spPr>
                </pic:pic>
              </a:graphicData>
            </a:graphic>
          </wp:anchor>
        </w:drawing>
      </w:r>
      <w:r w:rsidR="00F166B6" w:rsidRPr="00F166B6">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3268BD" w:rsidRPr="00FB783A" w:rsidRDefault="003268BD"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8"/>
      <w:footerReference w:type="default" r:id="rId29"/>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D11" w:rsidRDefault="006A6D11">
      <w:r>
        <w:separator/>
      </w:r>
    </w:p>
  </w:endnote>
  <w:endnote w:type="continuationSeparator" w:id="0">
    <w:p w:rsidR="006A6D11" w:rsidRDefault="006A6D11">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8BD" w:rsidRDefault="00F166B6" w:rsidP="00BC65E1">
    <w:pPr>
      <w:framePr w:wrap="around" w:vAnchor="text" w:hAnchor="margin" w:xAlign="right" w:y="1"/>
      <w:rPr>
        <w:rStyle w:val="Sidetall"/>
      </w:rPr>
    </w:pPr>
    <w:r>
      <w:rPr>
        <w:rStyle w:val="Sidetall"/>
      </w:rPr>
      <w:fldChar w:fldCharType="begin"/>
    </w:r>
    <w:r w:rsidR="003268BD">
      <w:rPr>
        <w:rStyle w:val="Sidetall"/>
      </w:rPr>
      <w:instrText xml:space="preserve">PAGE  </w:instrText>
    </w:r>
    <w:r>
      <w:rPr>
        <w:rStyle w:val="Sidetall"/>
      </w:rPr>
      <w:fldChar w:fldCharType="separate"/>
    </w:r>
    <w:r w:rsidR="003268BD">
      <w:rPr>
        <w:rStyle w:val="Sidetall"/>
        <w:noProof/>
      </w:rPr>
      <w:t>3</w:t>
    </w:r>
    <w:r>
      <w:rPr>
        <w:rStyle w:val="Sidetall"/>
      </w:rPr>
      <w:fldChar w:fldCharType="end"/>
    </w:r>
  </w:p>
  <w:p w:rsidR="003268BD" w:rsidRDefault="003268BD">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8BD" w:rsidRPr="00A15B61" w:rsidRDefault="00F166B6" w:rsidP="00BC65E1">
    <w:pPr>
      <w:pStyle w:val="Bunntekst"/>
      <w:framePr w:wrap="around" w:vAnchor="text" w:hAnchor="margin" w:xAlign="right" w:y="1"/>
      <w:rPr>
        <w:rStyle w:val="Sidetall"/>
      </w:rPr>
    </w:pPr>
    <w:r w:rsidRPr="00A15B61">
      <w:rPr>
        <w:rStyle w:val="Sidetall"/>
        <w:szCs w:val="20"/>
      </w:rPr>
      <w:fldChar w:fldCharType="begin"/>
    </w:r>
    <w:r w:rsidR="003268BD">
      <w:rPr>
        <w:rStyle w:val="Sidetall"/>
        <w:szCs w:val="20"/>
      </w:rPr>
      <w:instrText>PAGE</w:instrText>
    </w:r>
    <w:r w:rsidR="003268BD" w:rsidRPr="00A15B61">
      <w:rPr>
        <w:rStyle w:val="Sidetall"/>
        <w:szCs w:val="20"/>
      </w:rPr>
      <w:instrText xml:space="preserve">  </w:instrText>
    </w:r>
    <w:r w:rsidRPr="00A15B61">
      <w:rPr>
        <w:rStyle w:val="Sidetall"/>
        <w:szCs w:val="20"/>
      </w:rPr>
      <w:fldChar w:fldCharType="separate"/>
    </w:r>
    <w:r w:rsidR="00EF5DAC">
      <w:rPr>
        <w:rStyle w:val="Sidetall"/>
        <w:noProof/>
        <w:szCs w:val="20"/>
      </w:rPr>
      <w:t>1</w:t>
    </w:r>
    <w:r w:rsidRPr="00A15B61">
      <w:rPr>
        <w:rStyle w:val="Sidetall"/>
        <w:szCs w:val="20"/>
      </w:rPr>
      <w:fldChar w:fldCharType="end"/>
    </w:r>
  </w:p>
  <w:p w:rsidR="003268BD" w:rsidRPr="00A15B61" w:rsidRDefault="003268BD" w:rsidP="000D11C2">
    <w:pPr>
      <w:pStyle w:val="Bunntekst"/>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8BD" w:rsidRPr="00A15B61" w:rsidRDefault="00F166B6" w:rsidP="00BC65E1">
    <w:pPr>
      <w:pStyle w:val="Bunntekst"/>
      <w:framePr w:wrap="around" w:vAnchor="text" w:hAnchor="margin" w:xAlign="right" w:y="1"/>
      <w:rPr>
        <w:rStyle w:val="Sidetall"/>
      </w:rPr>
    </w:pPr>
    <w:r w:rsidRPr="00A15B61">
      <w:rPr>
        <w:rStyle w:val="Sidetall"/>
        <w:szCs w:val="20"/>
      </w:rPr>
      <w:fldChar w:fldCharType="begin"/>
    </w:r>
    <w:r w:rsidR="003268BD">
      <w:rPr>
        <w:rStyle w:val="Sidetall"/>
        <w:szCs w:val="20"/>
      </w:rPr>
      <w:instrText>PAGE</w:instrText>
    </w:r>
    <w:r w:rsidR="003268BD" w:rsidRPr="00A15B61">
      <w:rPr>
        <w:rStyle w:val="Sidetall"/>
        <w:szCs w:val="20"/>
      </w:rPr>
      <w:instrText xml:space="preserve">  </w:instrText>
    </w:r>
    <w:r w:rsidRPr="00A15B61">
      <w:rPr>
        <w:rStyle w:val="Sidetall"/>
        <w:szCs w:val="20"/>
      </w:rPr>
      <w:fldChar w:fldCharType="separate"/>
    </w:r>
    <w:r w:rsidR="00EF5DAC">
      <w:rPr>
        <w:rStyle w:val="Sidetall"/>
        <w:noProof/>
        <w:szCs w:val="20"/>
      </w:rPr>
      <w:t>15</w:t>
    </w:r>
    <w:r w:rsidRPr="00A15B61">
      <w:rPr>
        <w:rStyle w:val="Sidetall"/>
        <w:szCs w:val="20"/>
      </w:rPr>
      <w:fldChar w:fldCharType="end"/>
    </w:r>
  </w:p>
  <w:p w:rsidR="003268BD" w:rsidRPr="00A15B61" w:rsidRDefault="003268BD" w:rsidP="00C4344F">
    <w:pPr>
      <w:pStyle w:val="Bunntekst"/>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D11" w:rsidRDefault="006A6D11">
      <w:r>
        <w:separator/>
      </w:r>
    </w:p>
  </w:footnote>
  <w:footnote w:type="continuationSeparator" w:id="0">
    <w:p w:rsidR="006A6D11" w:rsidRDefault="006A6D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8BD" w:rsidRDefault="00F166B6">
    <w:pPr>
      <w:pStyle w:val="Topptekst"/>
    </w:pPr>
    <w:r w:rsidRPr="00F166B6">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07.85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w:txbxContent>
              <w:p w:rsidR="003268BD" w:rsidRDefault="003268BD" w:rsidP="00BC65E1">
                <w:pPr>
                  <w:spacing w:line="240" w:lineRule="auto"/>
                  <w:ind w:left="425" w:right="530"/>
                  <w:jc w:val="center"/>
                  <w:rPr>
                    <w:rFonts w:ascii="Arial" w:hAnsi="Arial" w:cs="Arial"/>
                    <w:sz w:val="60"/>
                    <w:szCs w:val="60"/>
                  </w:rPr>
                </w:pPr>
                <w:r>
                  <w:rPr>
                    <w:rFonts w:ascii="Arial" w:hAnsi="Arial" w:cs="Arial"/>
                    <w:sz w:val="60"/>
                    <w:szCs w:val="60"/>
                  </w:rPr>
                  <w:t>ESPON</w:t>
                </w:r>
                <w:r>
                  <w:rPr>
                    <w:rFonts w:ascii="Arial" w:hAnsi="Arial" w:cs="Arial"/>
                    <w:sz w:val="60"/>
                    <w:szCs w:val="60"/>
                  </w:rPr>
                  <w:br/>
                  <w:t xml:space="preserve">Factsheet </w:t>
                </w:r>
              </w:p>
              <w:p w:rsidR="003268BD" w:rsidRPr="00721B03" w:rsidRDefault="003268BD"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3268BD">
      <w:rPr>
        <w:noProof/>
        <w:lang w:val="nb-NO" w:eastAsia="nb-NO"/>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8BD" w:rsidRDefault="003268BD">
    <w:pPr>
      <w:pStyle w:val="Top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7FA41D4"/>
    <w:lvl w:ilvl="0">
      <w:start w:val="1"/>
      <w:numFmt w:val="decimal"/>
      <w:lvlText w:val="%1."/>
      <w:lvlJc w:val="left"/>
      <w:pPr>
        <w:tabs>
          <w:tab w:val="num" w:pos="1492"/>
        </w:tabs>
        <w:ind w:left="1492" w:hanging="360"/>
      </w:pPr>
    </w:lvl>
  </w:abstractNum>
  <w:abstractNum w:abstractNumId="1">
    <w:nsid w:val="FFFFFF7D"/>
    <w:multiLevelType w:val="singleLevel"/>
    <w:tmpl w:val="DB72474A"/>
    <w:lvl w:ilvl="0">
      <w:start w:val="1"/>
      <w:numFmt w:val="decimal"/>
      <w:lvlText w:val="%1."/>
      <w:lvlJc w:val="left"/>
      <w:pPr>
        <w:tabs>
          <w:tab w:val="num" w:pos="1209"/>
        </w:tabs>
        <w:ind w:left="1209" w:hanging="360"/>
      </w:pPr>
    </w:lvl>
  </w:abstractNum>
  <w:abstractNum w:abstractNumId="2">
    <w:nsid w:val="FFFFFF7E"/>
    <w:multiLevelType w:val="singleLevel"/>
    <w:tmpl w:val="2428774C"/>
    <w:lvl w:ilvl="0">
      <w:start w:val="1"/>
      <w:numFmt w:val="decimal"/>
      <w:lvlText w:val="%1."/>
      <w:lvlJc w:val="left"/>
      <w:pPr>
        <w:tabs>
          <w:tab w:val="num" w:pos="926"/>
        </w:tabs>
        <w:ind w:left="926" w:hanging="360"/>
      </w:pPr>
    </w:lvl>
  </w:abstractNum>
  <w:abstractNum w:abstractNumId="3">
    <w:nsid w:val="FFFFFF7F"/>
    <w:multiLevelType w:val="singleLevel"/>
    <w:tmpl w:val="FA2E5CE0"/>
    <w:lvl w:ilvl="0">
      <w:start w:val="1"/>
      <w:numFmt w:val="decimal"/>
      <w:lvlText w:val="%1."/>
      <w:lvlJc w:val="left"/>
      <w:pPr>
        <w:tabs>
          <w:tab w:val="num" w:pos="643"/>
        </w:tabs>
        <w:ind w:left="643" w:hanging="360"/>
      </w:pPr>
    </w:lvl>
  </w:abstractNum>
  <w:abstractNum w:abstractNumId="4">
    <w:nsid w:val="FFFFFF88"/>
    <w:multiLevelType w:val="singleLevel"/>
    <w:tmpl w:val="FE20D6AC"/>
    <w:lvl w:ilvl="0">
      <w:start w:val="1"/>
      <w:numFmt w:val="decimal"/>
      <w:lvlText w:val="%1."/>
      <w:lvlJc w:val="left"/>
      <w:pPr>
        <w:tabs>
          <w:tab w:val="num" w:pos="360"/>
        </w:tabs>
        <w:ind w:left="360" w:hanging="360"/>
      </w:pPr>
    </w:lvl>
  </w:abstractNum>
  <w:abstractNum w:abstractNumId="5">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8">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9">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6">
    <w:nsid w:val="7C7205F2"/>
    <w:multiLevelType w:val="multilevel"/>
    <w:tmpl w:val="8C367472"/>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7">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6"/>
  </w:num>
  <w:num w:numId="4">
    <w:abstractNumId w:val="14"/>
  </w:num>
  <w:num w:numId="5">
    <w:abstractNumId w:val="6"/>
  </w:num>
  <w:num w:numId="6">
    <w:abstractNumId w:val="13"/>
  </w:num>
  <w:num w:numId="7">
    <w:abstractNumId w:val="12"/>
  </w:num>
  <w:num w:numId="8">
    <w:abstractNumId w:val="10"/>
  </w:num>
  <w:num w:numId="9">
    <w:abstractNumId w:val="17"/>
  </w:num>
  <w:num w:numId="10">
    <w:abstractNumId w:val="16"/>
  </w:num>
  <w:num w:numId="11">
    <w:abstractNumId w:val="5"/>
  </w:num>
  <w:num w:numId="12">
    <w:abstractNumId w:val="15"/>
  </w:num>
  <w:num w:numId="13">
    <w:abstractNumId w:val="9"/>
  </w:num>
  <w:num w:numId="14">
    <w:abstractNumId w:val="11"/>
  </w:num>
  <w:num w:numId="15">
    <w:abstractNumId w:val="4"/>
  </w:num>
  <w:num w:numId="16">
    <w:abstractNumId w:val="3"/>
  </w:num>
  <w:num w:numId="17">
    <w:abstractNumId w:val="2"/>
  </w:num>
  <w:num w:numId="18">
    <w:abstractNumId w:val="1"/>
  </w:num>
  <w:num w:numId="19">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6919"/>
    <w:rsid w:val="000172BC"/>
    <w:rsid w:val="00020978"/>
    <w:rsid w:val="0002197F"/>
    <w:rsid w:val="00021A06"/>
    <w:rsid w:val="00030CE4"/>
    <w:rsid w:val="00031AEC"/>
    <w:rsid w:val="00032745"/>
    <w:rsid w:val="00034626"/>
    <w:rsid w:val="00036B31"/>
    <w:rsid w:val="00036BAE"/>
    <w:rsid w:val="00037716"/>
    <w:rsid w:val="00041991"/>
    <w:rsid w:val="00041A22"/>
    <w:rsid w:val="0004221D"/>
    <w:rsid w:val="00043F45"/>
    <w:rsid w:val="00043F7B"/>
    <w:rsid w:val="00050AB6"/>
    <w:rsid w:val="000527DC"/>
    <w:rsid w:val="00054E00"/>
    <w:rsid w:val="00055A97"/>
    <w:rsid w:val="000576BC"/>
    <w:rsid w:val="000607BF"/>
    <w:rsid w:val="00061CE3"/>
    <w:rsid w:val="00063161"/>
    <w:rsid w:val="00064853"/>
    <w:rsid w:val="000664C7"/>
    <w:rsid w:val="00072557"/>
    <w:rsid w:val="00073957"/>
    <w:rsid w:val="00073BFF"/>
    <w:rsid w:val="000757CA"/>
    <w:rsid w:val="00077C32"/>
    <w:rsid w:val="000812A6"/>
    <w:rsid w:val="00083607"/>
    <w:rsid w:val="00085BAD"/>
    <w:rsid w:val="00086387"/>
    <w:rsid w:val="000A0B9B"/>
    <w:rsid w:val="000A0F69"/>
    <w:rsid w:val="000A647A"/>
    <w:rsid w:val="000B3819"/>
    <w:rsid w:val="000B4718"/>
    <w:rsid w:val="000B58AA"/>
    <w:rsid w:val="000B7A7D"/>
    <w:rsid w:val="000B7F4E"/>
    <w:rsid w:val="000C36A1"/>
    <w:rsid w:val="000C4070"/>
    <w:rsid w:val="000C716F"/>
    <w:rsid w:val="000D0D18"/>
    <w:rsid w:val="000D11C2"/>
    <w:rsid w:val="000D57C9"/>
    <w:rsid w:val="000D6C64"/>
    <w:rsid w:val="000D7CC4"/>
    <w:rsid w:val="000E592C"/>
    <w:rsid w:val="000E6CC8"/>
    <w:rsid w:val="000E76EB"/>
    <w:rsid w:val="000F1BA2"/>
    <w:rsid w:val="000F2140"/>
    <w:rsid w:val="000F4706"/>
    <w:rsid w:val="00105B9D"/>
    <w:rsid w:val="001120BB"/>
    <w:rsid w:val="00112693"/>
    <w:rsid w:val="001245F9"/>
    <w:rsid w:val="00124BDE"/>
    <w:rsid w:val="0012533B"/>
    <w:rsid w:val="001260F4"/>
    <w:rsid w:val="00127104"/>
    <w:rsid w:val="00133602"/>
    <w:rsid w:val="00134DC7"/>
    <w:rsid w:val="0013600B"/>
    <w:rsid w:val="00150A5A"/>
    <w:rsid w:val="00150FCB"/>
    <w:rsid w:val="00151954"/>
    <w:rsid w:val="00152974"/>
    <w:rsid w:val="00153108"/>
    <w:rsid w:val="0015691A"/>
    <w:rsid w:val="00162FF6"/>
    <w:rsid w:val="0016435C"/>
    <w:rsid w:val="00172B99"/>
    <w:rsid w:val="00177F91"/>
    <w:rsid w:val="00180D67"/>
    <w:rsid w:val="00182673"/>
    <w:rsid w:val="001838FE"/>
    <w:rsid w:val="00184B93"/>
    <w:rsid w:val="001907DA"/>
    <w:rsid w:val="00191F3D"/>
    <w:rsid w:val="001929F2"/>
    <w:rsid w:val="0019394E"/>
    <w:rsid w:val="00193F6F"/>
    <w:rsid w:val="00197096"/>
    <w:rsid w:val="001A0A8D"/>
    <w:rsid w:val="001A30F4"/>
    <w:rsid w:val="001A42AD"/>
    <w:rsid w:val="001A7669"/>
    <w:rsid w:val="001B0526"/>
    <w:rsid w:val="001B13B6"/>
    <w:rsid w:val="001B1A1A"/>
    <w:rsid w:val="001B300C"/>
    <w:rsid w:val="001B3AB0"/>
    <w:rsid w:val="001B6560"/>
    <w:rsid w:val="001B6A94"/>
    <w:rsid w:val="001C043A"/>
    <w:rsid w:val="001C4CA6"/>
    <w:rsid w:val="001C7CD0"/>
    <w:rsid w:val="001D0F57"/>
    <w:rsid w:val="001D187B"/>
    <w:rsid w:val="001D594F"/>
    <w:rsid w:val="001E0ECB"/>
    <w:rsid w:val="001E2507"/>
    <w:rsid w:val="001E4F95"/>
    <w:rsid w:val="001E5F4A"/>
    <w:rsid w:val="001F0A8E"/>
    <w:rsid w:val="001F236D"/>
    <w:rsid w:val="001F3BBA"/>
    <w:rsid w:val="001F5D67"/>
    <w:rsid w:val="002004FA"/>
    <w:rsid w:val="00200704"/>
    <w:rsid w:val="00200B38"/>
    <w:rsid w:val="00207B3F"/>
    <w:rsid w:val="0021343D"/>
    <w:rsid w:val="002146DB"/>
    <w:rsid w:val="0022077E"/>
    <w:rsid w:val="00220A8C"/>
    <w:rsid w:val="002214A4"/>
    <w:rsid w:val="00221A45"/>
    <w:rsid w:val="00223DE3"/>
    <w:rsid w:val="002250F3"/>
    <w:rsid w:val="00227652"/>
    <w:rsid w:val="002363BC"/>
    <w:rsid w:val="00236800"/>
    <w:rsid w:val="002371D8"/>
    <w:rsid w:val="0023799F"/>
    <w:rsid w:val="00253237"/>
    <w:rsid w:val="0025373C"/>
    <w:rsid w:val="0026077F"/>
    <w:rsid w:val="00264534"/>
    <w:rsid w:val="00265996"/>
    <w:rsid w:val="002746B8"/>
    <w:rsid w:val="00276DA6"/>
    <w:rsid w:val="00277824"/>
    <w:rsid w:val="00281A82"/>
    <w:rsid w:val="00282854"/>
    <w:rsid w:val="00285BF3"/>
    <w:rsid w:val="002923B9"/>
    <w:rsid w:val="00293ABA"/>
    <w:rsid w:val="00293DE9"/>
    <w:rsid w:val="00294042"/>
    <w:rsid w:val="002949F4"/>
    <w:rsid w:val="002973FF"/>
    <w:rsid w:val="002977F3"/>
    <w:rsid w:val="002A2C96"/>
    <w:rsid w:val="002A7776"/>
    <w:rsid w:val="002B1929"/>
    <w:rsid w:val="002B51CA"/>
    <w:rsid w:val="002B71A8"/>
    <w:rsid w:val="002C06ED"/>
    <w:rsid w:val="002C2CBC"/>
    <w:rsid w:val="002C4473"/>
    <w:rsid w:val="002C4E4C"/>
    <w:rsid w:val="002C780D"/>
    <w:rsid w:val="002D1443"/>
    <w:rsid w:val="002D3185"/>
    <w:rsid w:val="002D429C"/>
    <w:rsid w:val="002D4B50"/>
    <w:rsid w:val="002D5B13"/>
    <w:rsid w:val="002E0490"/>
    <w:rsid w:val="002E20E5"/>
    <w:rsid w:val="002E3524"/>
    <w:rsid w:val="002E529A"/>
    <w:rsid w:val="002E619E"/>
    <w:rsid w:val="002F1D75"/>
    <w:rsid w:val="002F4B38"/>
    <w:rsid w:val="002F713F"/>
    <w:rsid w:val="00303833"/>
    <w:rsid w:val="00304555"/>
    <w:rsid w:val="003052B2"/>
    <w:rsid w:val="0030699A"/>
    <w:rsid w:val="00322B33"/>
    <w:rsid w:val="003253E2"/>
    <w:rsid w:val="00326273"/>
    <w:rsid w:val="003268BD"/>
    <w:rsid w:val="003351B4"/>
    <w:rsid w:val="00337519"/>
    <w:rsid w:val="00337872"/>
    <w:rsid w:val="00344591"/>
    <w:rsid w:val="00345B16"/>
    <w:rsid w:val="00351255"/>
    <w:rsid w:val="00351563"/>
    <w:rsid w:val="003526D5"/>
    <w:rsid w:val="00352B1D"/>
    <w:rsid w:val="00352D76"/>
    <w:rsid w:val="00353B5C"/>
    <w:rsid w:val="00353E8C"/>
    <w:rsid w:val="0035504D"/>
    <w:rsid w:val="0035581D"/>
    <w:rsid w:val="003573D1"/>
    <w:rsid w:val="00362CD8"/>
    <w:rsid w:val="00362D4C"/>
    <w:rsid w:val="0036361E"/>
    <w:rsid w:val="00371DBA"/>
    <w:rsid w:val="0037440D"/>
    <w:rsid w:val="00376B51"/>
    <w:rsid w:val="0037764A"/>
    <w:rsid w:val="00384F28"/>
    <w:rsid w:val="003860B2"/>
    <w:rsid w:val="00387A8F"/>
    <w:rsid w:val="00391559"/>
    <w:rsid w:val="00391CD5"/>
    <w:rsid w:val="0039373B"/>
    <w:rsid w:val="00396D72"/>
    <w:rsid w:val="00397CB9"/>
    <w:rsid w:val="003A016A"/>
    <w:rsid w:val="003A1847"/>
    <w:rsid w:val="003A27BC"/>
    <w:rsid w:val="003A2F36"/>
    <w:rsid w:val="003B0962"/>
    <w:rsid w:val="003B21D4"/>
    <w:rsid w:val="003C112D"/>
    <w:rsid w:val="003C261B"/>
    <w:rsid w:val="003C354A"/>
    <w:rsid w:val="003C3688"/>
    <w:rsid w:val="003C50D4"/>
    <w:rsid w:val="003C5D09"/>
    <w:rsid w:val="003D2A84"/>
    <w:rsid w:val="003D3487"/>
    <w:rsid w:val="003D44D2"/>
    <w:rsid w:val="003D4618"/>
    <w:rsid w:val="003D5114"/>
    <w:rsid w:val="003E161E"/>
    <w:rsid w:val="003E1F66"/>
    <w:rsid w:val="003E2114"/>
    <w:rsid w:val="003E7A75"/>
    <w:rsid w:val="003F196C"/>
    <w:rsid w:val="003F6066"/>
    <w:rsid w:val="00401DDB"/>
    <w:rsid w:val="004024D3"/>
    <w:rsid w:val="00402F5A"/>
    <w:rsid w:val="004043C4"/>
    <w:rsid w:val="004047DE"/>
    <w:rsid w:val="00404925"/>
    <w:rsid w:val="004054C3"/>
    <w:rsid w:val="0040760B"/>
    <w:rsid w:val="00410A29"/>
    <w:rsid w:val="004122A0"/>
    <w:rsid w:val="004173E4"/>
    <w:rsid w:val="004177FC"/>
    <w:rsid w:val="0042391C"/>
    <w:rsid w:val="0042502E"/>
    <w:rsid w:val="004277D0"/>
    <w:rsid w:val="00433090"/>
    <w:rsid w:val="004353CB"/>
    <w:rsid w:val="0044029A"/>
    <w:rsid w:val="00441549"/>
    <w:rsid w:val="0044604E"/>
    <w:rsid w:val="00447210"/>
    <w:rsid w:val="00452144"/>
    <w:rsid w:val="00454825"/>
    <w:rsid w:val="00456E90"/>
    <w:rsid w:val="004604F3"/>
    <w:rsid w:val="0046572E"/>
    <w:rsid w:val="00467598"/>
    <w:rsid w:val="00470A8B"/>
    <w:rsid w:val="00472744"/>
    <w:rsid w:val="00473131"/>
    <w:rsid w:val="0047447C"/>
    <w:rsid w:val="00475DCB"/>
    <w:rsid w:val="004778EB"/>
    <w:rsid w:val="00477CEB"/>
    <w:rsid w:val="0048039B"/>
    <w:rsid w:val="004854D1"/>
    <w:rsid w:val="00485672"/>
    <w:rsid w:val="004900DF"/>
    <w:rsid w:val="004933BE"/>
    <w:rsid w:val="00495714"/>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20876"/>
    <w:rsid w:val="00524215"/>
    <w:rsid w:val="00526E5A"/>
    <w:rsid w:val="005322AA"/>
    <w:rsid w:val="005337C7"/>
    <w:rsid w:val="00541834"/>
    <w:rsid w:val="005433C5"/>
    <w:rsid w:val="00544CC3"/>
    <w:rsid w:val="00545F8A"/>
    <w:rsid w:val="005463AC"/>
    <w:rsid w:val="00552FAD"/>
    <w:rsid w:val="00556D25"/>
    <w:rsid w:val="00562AB0"/>
    <w:rsid w:val="0056756F"/>
    <w:rsid w:val="00571653"/>
    <w:rsid w:val="00571A61"/>
    <w:rsid w:val="00571C81"/>
    <w:rsid w:val="0057346D"/>
    <w:rsid w:val="005761A6"/>
    <w:rsid w:val="0057623F"/>
    <w:rsid w:val="00582C35"/>
    <w:rsid w:val="00585345"/>
    <w:rsid w:val="00593AD0"/>
    <w:rsid w:val="00593B7A"/>
    <w:rsid w:val="00595161"/>
    <w:rsid w:val="005967A2"/>
    <w:rsid w:val="00597872"/>
    <w:rsid w:val="005A2C89"/>
    <w:rsid w:val="005A3E20"/>
    <w:rsid w:val="005A73D9"/>
    <w:rsid w:val="005A7DFC"/>
    <w:rsid w:val="005B3722"/>
    <w:rsid w:val="005C108D"/>
    <w:rsid w:val="005C58DE"/>
    <w:rsid w:val="005C6D17"/>
    <w:rsid w:val="005D0C21"/>
    <w:rsid w:val="005D2D0B"/>
    <w:rsid w:val="005D53EE"/>
    <w:rsid w:val="005D621D"/>
    <w:rsid w:val="005D632A"/>
    <w:rsid w:val="005D78FE"/>
    <w:rsid w:val="005E463C"/>
    <w:rsid w:val="005E4E4C"/>
    <w:rsid w:val="005E586B"/>
    <w:rsid w:val="005E6290"/>
    <w:rsid w:val="005F0D48"/>
    <w:rsid w:val="005F24DD"/>
    <w:rsid w:val="0060091E"/>
    <w:rsid w:val="00603D96"/>
    <w:rsid w:val="00610DAB"/>
    <w:rsid w:val="0061660C"/>
    <w:rsid w:val="006166FD"/>
    <w:rsid w:val="00616DE9"/>
    <w:rsid w:val="0061757F"/>
    <w:rsid w:val="0062358C"/>
    <w:rsid w:val="006326AB"/>
    <w:rsid w:val="00633FE2"/>
    <w:rsid w:val="0063504F"/>
    <w:rsid w:val="00643649"/>
    <w:rsid w:val="006441ED"/>
    <w:rsid w:val="00645CD2"/>
    <w:rsid w:val="0065085F"/>
    <w:rsid w:val="00654361"/>
    <w:rsid w:val="0065695B"/>
    <w:rsid w:val="00657472"/>
    <w:rsid w:val="0065791B"/>
    <w:rsid w:val="00657A40"/>
    <w:rsid w:val="00657E48"/>
    <w:rsid w:val="00660A8B"/>
    <w:rsid w:val="0066206E"/>
    <w:rsid w:val="0066301D"/>
    <w:rsid w:val="00664ACE"/>
    <w:rsid w:val="00664B05"/>
    <w:rsid w:val="006743AD"/>
    <w:rsid w:val="0068242A"/>
    <w:rsid w:val="00682613"/>
    <w:rsid w:val="00682B57"/>
    <w:rsid w:val="006847A3"/>
    <w:rsid w:val="00690277"/>
    <w:rsid w:val="0069219F"/>
    <w:rsid w:val="00695762"/>
    <w:rsid w:val="006A17A6"/>
    <w:rsid w:val="006A30AF"/>
    <w:rsid w:val="006A5610"/>
    <w:rsid w:val="006A5F96"/>
    <w:rsid w:val="006A6D11"/>
    <w:rsid w:val="006A7FE2"/>
    <w:rsid w:val="006B1170"/>
    <w:rsid w:val="006B48FD"/>
    <w:rsid w:val="006B59A1"/>
    <w:rsid w:val="006C4740"/>
    <w:rsid w:val="006C481B"/>
    <w:rsid w:val="006D18CA"/>
    <w:rsid w:val="006D3D3E"/>
    <w:rsid w:val="006D44BA"/>
    <w:rsid w:val="006D5157"/>
    <w:rsid w:val="006D5350"/>
    <w:rsid w:val="006D6890"/>
    <w:rsid w:val="006E1A6B"/>
    <w:rsid w:val="006E4366"/>
    <w:rsid w:val="006E5E38"/>
    <w:rsid w:val="006E618B"/>
    <w:rsid w:val="006F0BC4"/>
    <w:rsid w:val="006F17FA"/>
    <w:rsid w:val="006F222E"/>
    <w:rsid w:val="006F49F1"/>
    <w:rsid w:val="006F4E16"/>
    <w:rsid w:val="00702CB8"/>
    <w:rsid w:val="00707885"/>
    <w:rsid w:val="0071023A"/>
    <w:rsid w:val="007107A7"/>
    <w:rsid w:val="007119D4"/>
    <w:rsid w:val="00712430"/>
    <w:rsid w:val="007153BD"/>
    <w:rsid w:val="00716E65"/>
    <w:rsid w:val="007172A4"/>
    <w:rsid w:val="007221CD"/>
    <w:rsid w:val="007244F6"/>
    <w:rsid w:val="00724928"/>
    <w:rsid w:val="00725832"/>
    <w:rsid w:val="00726D46"/>
    <w:rsid w:val="00732C90"/>
    <w:rsid w:val="007370BC"/>
    <w:rsid w:val="007423B2"/>
    <w:rsid w:val="007456E2"/>
    <w:rsid w:val="00747707"/>
    <w:rsid w:val="00761029"/>
    <w:rsid w:val="0076148F"/>
    <w:rsid w:val="007656EC"/>
    <w:rsid w:val="00770B59"/>
    <w:rsid w:val="00771219"/>
    <w:rsid w:val="00771843"/>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A48EF"/>
    <w:rsid w:val="007A4E31"/>
    <w:rsid w:val="007A508C"/>
    <w:rsid w:val="007A5C06"/>
    <w:rsid w:val="007A5D52"/>
    <w:rsid w:val="007A5E35"/>
    <w:rsid w:val="007B19A0"/>
    <w:rsid w:val="007B3652"/>
    <w:rsid w:val="007B59B6"/>
    <w:rsid w:val="007B7ADB"/>
    <w:rsid w:val="007C52E9"/>
    <w:rsid w:val="007E2555"/>
    <w:rsid w:val="007E3756"/>
    <w:rsid w:val="007F16DF"/>
    <w:rsid w:val="007F2A06"/>
    <w:rsid w:val="007F40FD"/>
    <w:rsid w:val="008044DD"/>
    <w:rsid w:val="00804BA1"/>
    <w:rsid w:val="00805E5D"/>
    <w:rsid w:val="00812490"/>
    <w:rsid w:val="00812ECD"/>
    <w:rsid w:val="008132AD"/>
    <w:rsid w:val="00823513"/>
    <w:rsid w:val="0082385D"/>
    <w:rsid w:val="0082390C"/>
    <w:rsid w:val="00823FCF"/>
    <w:rsid w:val="00827112"/>
    <w:rsid w:val="00827496"/>
    <w:rsid w:val="00827EFF"/>
    <w:rsid w:val="008321A8"/>
    <w:rsid w:val="00835D9A"/>
    <w:rsid w:val="00835EF3"/>
    <w:rsid w:val="008419E4"/>
    <w:rsid w:val="00844319"/>
    <w:rsid w:val="008454F5"/>
    <w:rsid w:val="00846CF1"/>
    <w:rsid w:val="00847741"/>
    <w:rsid w:val="00855241"/>
    <w:rsid w:val="008555CF"/>
    <w:rsid w:val="00856EFD"/>
    <w:rsid w:val="00857138"/>
    <w:rsid w:val="00857F3C"/>
    <w:rsid w:val="00871839"/>
    <w:rsid w:val="00875551"/>
    <w:rsid w:val="00876AC8"/>
    <w:rsid w:val="008829C7"/>
    <w:rsid w:val="00882F9C"/>
    <w:rsid w:val="00885028"/>
    <w:rsid w:val="00886C11"/>
    <w:rsid w:val="00891455"/>
    <w:rsid w:val="008926ED"/>
    <w:rsid w:val="0089569C"/>
    <w:rsid w:val="00895E5B"/>
    <w:rsid w:val="00896802"/>
    <w:rsid w:val="008A3B96"/>
    <w:rsid w:val="008A63DF"/>
    <w:rsid w:val="008A68FF"/>
    <w:rsid w:val="008B1002"/>
    <w:rsid w:val="008B2C0A"/>
    <w:rsid w:val="008B577E"/>
    <w:rsid w:val="008B582B"/>
    <w:rsid w:val="008B5BDF"/>
    <w:rsid w:val="008C37DF"/>
    <w:rsid w:val="008C5656"/>
    <w:rsid w:val="008C7A02"/>
    <w:rsid w:val="008C7EA6"/>
    <w:rsid w:val="008D0268"/>
    <w:rsid w:val="008D1558"/>
    <w:rsid w:val="008D2417"/>
    <w:rsid w:val="008D3E90"/>
    <w:rsid w:val="008D4CB6"/>
    <w:rsid w:val="008E033C"/>
    <w:rsid w:val="008E0954"/>
    <w:rsid w:val="008E146A"/>
    <w:rsid w:val="008E24D2"/>
    <w:rsid w:val="008E385E"/>
    <w:rsid w:val="008E4D86"/>
    <w:rsid w:val="008E6B67"/>
    <w:rsid w:val="008F09C6"/>
    <w:rsid w:val="008F3EE5"/>
    <w:rsid w:val="008F6322"/>
    <w:rsid w:val="00905001"/>
    <w:rsid w:val="00906A2B"/>
    <w:rsid w:val="009116A2"/>
    <w:rsid w:val="00911A6A"/>
    <w:rsid w:val="0091343C"/>
    <w:rsid w:val="00913874"/>
    <w:rsid w:val="00921D38"/>
    <w:rsid w:val="0092562C"/>
    <w:rsid w:val="00927D4F"/>
    <w:rsid w:val="00930989"/>
    <w:rsid w:val="00931A61"/>
    <w:rsid w:val="0093778A"/>
    <w:rsid w:val="0094059F"/>
    <w:rsid w:val="00943F1C"/>
    <w:rsid w:val="00944EBE"/>
    <w:rsid w:val="00946375"/>
    <w:rsid w:val="00951B33"/>
    <w:rsid w:val="00951F28"/>
    <w:rsid w:val="00952C12"/>
    <w:rsid w:val="0095381A"/>
    <w:rsid w:val="009540EB"/>
    <w:rsid w:val="009607D7"/>
    <w:rsid w:val="00971C9B"/>
    <w:rsid w:val="009727D3"/>
    <w:rsid w:val="009729A4"/>
    <w:rsid w:val="00973416"/>
    <w:rsid w:val="00973678"/>
    <w:rsid w:val="00974016"/>
    <w:rsid w:val="00974649"/>
    <w:rsid w:val="00977ADD"/>
    <w:rsid w:val="00977AED"/>
    <w:rsid w:val="00983AB6"/>
    <w:rsid w:val="0099613A"/>
    <w:rsid w:val="00996B57"/>
    <w:rsid w:val="00997518"/>
    <w:rsid w:val="009A379F"/>
    <w:rsid w:val="009A43BF"/>
    <w:rsid w:val="009A768F"/>
    <w:rsid w:val="009A7921"/>
    <w:rsid w:val="009B20D3"/>
    <w:rsid w:val="009B4050"/>
    <w:rsid w:val="009B592C"/>
    <w:rsid w:val="009C0409"/>
    <w:rsid w:val="009C12E9"/>
    <w:rsid w:val="009C7E18"/>
    <w:rsid w:val="009D0C40"/>
    <w:rsid w:val="009D1667"/>
    <w:rsid w:val="009D1D06"/>
    <w:rsid w:val="009D2E8A"/>
    <w:rsid w:val="009D38A2"/>
    <w:rsid w:val="009D3B18"/>
    <w:rsid w:val="009D3F39"/>
    <w:rsid w:val="009D457D"/>
    <w:rsid w:val="009D681C"/>
    <w:rsid w:val="009E0BD5"/>
    <w:rsid w:val="009E1C7F"/>
    <w:rsid w:val="009E361D"/>
    <w:rsid w:val="009E62EA"/>
    <w:rsid w:val="009E70A1"/>
    <w:rsid w:val="009F21F0"/>
    <w:rsid w:val="009F2583"/>
    <w:rsid w:val="009F3D83"/>
    <w:rsid w:val="009F62F0"/>
    <w:rsid w:val="009F7417"/>
    <w:rsid w:val="009F77A8"/>
    <w:rsid w:val="00A02FD6"/>
    <w:rsid w:val="00A12916"/>
    <w:rsid w:val="00A13E7F"/>
    <w:rsid w:val="00A14BAC"/>
    <w:rsid w:val="00A15B61"/>
    <w:rsid w:val="00A16062"/>
    <w:rsid w:val="00A2166F"/>
    <w:rsid w:val="00A21C1D"/>
    <w:rsid w:val="00A24B55"/>
    <w:rsid w:val="00A265BE"/>
    <w:rsid w:val="00A304AA"/>
    <w:rsid w:val="00A31617"/>
    <w:rsid w:val="00A33083"/>
    <w:rsid w:val="00A37956"/>
    <w:rsid w:val="00A413E0"/>
    <w:rsid w:val="00A433AA"/>
    <w:rsid w:val="00A447B6"/>
    <w:rsid w:val="00A44D2B"/>
    <w:rsid w:val="00A457AA"/>
    <w:rsid w:val="00A46196"/>
    <w:rsid w:val="00A47168"/>
    <w:rsid w:val="00A55855"/>
    <w:rsid w:val="00A61620"/>
    <w:rsid w:val="00A62876"/>
    <w:rsid w:val="00A7369A"/>
    <w:rsid w:val="00A73F5F"/>
    <w:rsid w:val="00A76236"/>
    <w:rsid w:val="00A76F72"/>
    <w:rsid w:val="00A836AD"/>
    <w:rsid w:val="00A83ACC"/>
    <w:rsid w:val="00A91FBB"/>
    <w:rsid w:val="00A9486C"/>
    <w:rsid w:val="00A967C7"/>
    <w:rsid w:val="00A9708D"/>
    <w:rsid w:val="00AA2C67"/>
    <w:rsid w:val="00AA4952"/>
    <w:rsid w:val="00AA5486"/>
    <w:rsid w:val="00AB0F46"/>
    <w:rsid w:val="00AB16F9"/>
    <w:rsid w:val="00AB23D7"/>
    <w:rsid w:val="00AB243A"/>
    <w:rsid w:val="00AB5BB9"/>
    <w:rsid w:val="00AB6431"/>
    <w:rsid w:val="00AC125B"/>
    <w:rsid w:val="00AC3144"/>
    <w:rsid w:val="00AC52D7"/>
    <w:rsid w:val="00AC55B7"/>
    <w:rsid w:val="00AC7369"/>
    <w:rsid w:val="00AD1095"/>
    <w:rsid w:val="00AD3141"/>
    <w:rsid w:val="00AD4C76"/>
    <w:rsid w:val="00AD5E29"/>
    <w:rsid w:val="00AD6766"/>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171E1"/>
    <w:rsid w:val="00B17638"/>
    <w:rsid w:val="00B25F6C"/>
    <w:rsid w:val="00B2763C"/>
    <w:rsid w:val="00B27F58"/>
    <w:rsid w:val="00B31866"/>
    <w:rsid w:val="00B3257D"/>
    <w:rsid w:val="00B328F8"/>
    <w:rsid w:val="00B43B1B"/>
    <w:rsid w:val="00B45029"/>
    <w:rsid w:val="00B45D92"/>
    <w:rsid w:val="00B472A4"/>
    <w:rsid w:val="00B47314"/>
    <w:rsid w:val="00B47EEE"/>
    <w:rsid w:val="00B51A9A"/>
    <w:rsid w:val="00B5450D"/>
    <w:rsid w:val="00B54542"/>
    <w:rsid w:val="00B551ED"/>
    <w:rsid w:val="00B55DC5"/>
    <w:rsid w:val="00B57F87"/>
    <w:rsid w:val="00B57FCF"/>
    <w:rsid w:val="00B601F1"/>
    <w:rsid w:val="00B6026B"/>
    <w:rsid w:val="00B61D5A"/>
    <w:rsid w:val="00B703D4"/>
    <w:rsid w:val="00B7058E"/>
    <w:rsid w:val="00B728C8"/>
    <w:rsid w:val="00B75224"/>
    <w:rsid w:val="00B757EC"/>
    <w:rsid w:val="00B75D6B"/>
    <w:rsid w:val="00B77BD4"/>
    <w:rsid w:val="00B81893"/>
    <w:rsid w:val="00B82E7B"/>
    <w:rsid w:val="00B85AA5"/>
    <w:rsid w:val="00B8613C"/>
    <w:rsid w:val="00B863CA"/>
    <w:rsid w:val="00B872B1"/>
    <w:rsid w:val="00B90C64"/>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BF7B01"/>
    <w:rsid w:val="00C00C96"/>
    <w:rsid w:val="00C019EF"/>
    <w:rsid w:val="00C02377"/>
    <w:rsid w:val="00C033E5"/>
    <w:rsid w:val="00C04A1F"/>
    <w:rsid w:val="00C04A31"/>
    <w:rsid w:val="00C0554A"/>
    <w:rsid w:val="00C1059F"/>
    <w:rsid w:val="00C11D58"/>
    <w:rsid w:val="00C13A33"/>
    <w:rsid w:val="00C1408A"/>
    <w:rsid w:val="00C160A4"/>
    <w:rsid w:val="00C25CB5"/>
    <w:rsid w:val="00C26F3B"/>
    <w:rsid w:val="00C30BF8"/>
    <w:rsid w:val="00C32582"/>
    <w:rsid w:val="00C33A99"/>
    <w:rsid w:val="00C34A6E"/>
    <w:rsid w:val="00C421CA"/>
    <w:rsid w:val="00C4344F"/>
    <w:rsid w:val="00C46385"/>
    <w:rsid w:val="00C5084D"/>
    <w:rsid w:val="00C508D6"/>
    <w:rsid w:val="00C51A75"/>
    <w:rsid w:val="00C5255D"/>
    <w:rsid w:val="00C5462E"/>
    <w:rsid w:val="00C603EB"/>
    <w:rsid w:val="00C606EA"/>
    <w:rsid w:val="00C664BB"/>
    <w:rsid w:val="00C675CC"/>
    <w:rsid w:val="00C7069F"/>
    <w:rsid w:val="00C71718"/>
    <w:rsid w:val="00C7538F"/>
    <w:rsid w:val="00C76A20"/>
    <w:rsid w:val="00C77C7E"/>
    <w:rsid w:val="00C77D2A"/>
    <w:rsid w:val="00C809FF"/>
    <w:rsid w:val="00C9580A"/>
    <w:rsid w:val="00C9704F"/>
    <w:rsid w:val="00CA3C33"/>
    <w:rsid w:val="00CA4181"/>
    <w:rsid w:val="00CA4369"/>
    <w:rsid w:val="00CA6583"/>
    <w:rsid w:val="00CB23CC"/>
    <w:rsid w:val="00CB28C9"/>
    <w:rsid w:val="00CB672B"/>
    <w:rsid w:val="00CB7211"/>
    <w:rsid w:val="00CC1A98"/>
    <w:rsid w:val="00CC6723"/>
    <w:rsid w:val="00CC7EC5"/>
    <w:rsid w:val="00CD45BE"/>
    <w:rsid w:val="00CD49C4"/>
    <w:rsid w:val="00CD642B"/>
    <w:rsid w:val="00CD6A77"/>
    <w:rsid w:val="00CD6FEB"/>
    <w:rsid w:val="00CE61D3"/>
    <w:rsid w:val="00CE67DD"/>
    <w:rsid w:val="00CF4683"/>
    <w:rsid w:val="00CF5258"/>
    <w:rsid w:val="00CF68E8"/>
    <w:rsid w:val="00CF7148"/>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6713"/>
    <w:rsid w:val="00D318F2"/>
    <w:rsid w:val="00D32EA8"/>
    <w:rsid w:val="00D368D6"/>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A2B"/>
    <w:rsid w:val="00D72C5E"/>
    <w:rsid w:val="00D74BD3"/>
    <w:rsid w:val="00D77200"/>
    <w:rsid w:val="00D81724"/>
    <w:rsid w:val="00D8210F"/>
    <w:rsid w:val="00D82705"/>
    <w:rsid w:val="00DA1668"/>
    <w:rsid w:val="00DA20D3"/>
    <w:rsid w:val="00DA3852"/>
    <w:rsid w:val="00DA49C4"/>
    <w:rsid w:val="00DA63BF"/>
    <w:rsid w:val="00DA6F83"/>
    <w:rsid w:val="00DB4000"/>
    <w:rsid w:val="00DB42BD"/>
    <w:rsid w:val="00DB605C"/>
    <w:rsid w:val="00DC0823"/>
    <w:rsid w:val="00DC21BC"/>
    <w:rsid w:val="00DC3E4C"/>
    <w:rsid w:val="00DC55C7"/>
    <w:rsid w:val="00DC60A4"/>
    <w:rsid w:val="00DC6422"/>
    <w:rsid w:val="00DD0539"/>
    <w:rsid w:val="00DE0D99"/>
    <w:rsid w:val="00DE584B"/>
    <w:rsid w:val="00DF22D8"/>
    <w:rsid w:val="00DF76E3"/>
    <w:rsid w:val="00E02024"/>
    <w:rsid w:val="00E03013"/>
    <w:rsid w:val="00E03104"/>
    <w:rsid w:val="00E03ABA"/>
    <w:rsid w:val="00E04EC2"/>
    <w:rsid w:val="00E07A32"/>
    <w:rsid w:val="00E10213"/>
    <w:rsid w:val="00E108F5"/>
    <w:rsid w:val="00E11808"/>
    <w:rsid w:val="00E21E7C"/>
    <w:rsid w:val="00E27072"/>
    <w:rsid w:val="00E32184"/>
    <w:rsid w:val="00E32185"/>
    <w:rsid w:val="00E32B0F"/>
    <w:rsid w:val="00E32FB2"/>
    <w:rsid w:val="00E34406"/>
    <w:rsid w:val="00E35F66"/>
    <w:rsid w:val="00E42BB9"/>
    <w:rsid w:val="00E43562"/>
    <w:rsid w:val="00E443A6"/>
    <w:rsid w:val="00E45A26"/>
    <w:rsid w:val="00E46C40"/>
    <w:rsid w:val="00E479A3"/>
    <w:rsid w:val="00E47D48"/>
    <w:rsid w:val="00E502EA"/>
    <w:rsid w:val="00E52669"/>
    <w:rsid w:val="00E53823"/>
    <w:rsid w:val="00E53C01"/>
    <w:rsid w:val="00E544A0"/>
    <w:rsid w:val="00E576B9"/>
    <w:rsid w:val="00E57FE0"/>
    <w:rsid w:val="00E60F99"/>
    <w:rsid w:val="00E613A3"/>
    <w:rsid w:val="00E621AC"/>
    <w:rsid w:val="00E6468A"/>
    <w:rsid w:val="00E701B2"/>
    <w:rsid w:val="00E709E6"/>
    <w:rsid w:val="00E71207"/>
    <w:rsid w:val="00E727A7"/>
    <w:rsid w:val="00E73444"/>
    <w:rsid w:val="00E742A9"/>
    <w:rsid w:val="00E766D1"/>
    <w:rsid w:val="00E77F26"/>
    <w:rsid w:val="00E855FF"/>
    <w:rsid w:val="00E97A65"/>
    <w:rsid w:val="00EA0966"/>
    <w:rsid w:val="00EA0FFC"/>
    <w:rsid w:val="00EA337F"/>
    <w:rsid w:val="00EA5A90"/>
    <w:rsid w:val="00EB092A"/>
    <w:rsid w:val="00EB1FF2"/>
    <w:rsid w:val="00EB6387"/>
    <w:rsid w:val="00EB7D50"/>
    <w:rsid w:val="00EC4562"/>
    <w:rsid w:val="00EC6809"/>
    <w:rsid w:val="00EC6878"/>
    <w:rsid w:val="00EC7C8C"/>
    <w:rsid w:val="00ED077F"/>
    <w:rsid w:val="00ED236B"/>
    <w:rsid w:val="00ED58B7"/>
    <w:rsid w:val="00ED5923"/>
    <w:rsid w:val="00ED646D"/>
    <w:rsid w:val="00ED6A97"/>
    <w:rsid w:val="00EE082D"/>
    <w:rsid w:val="00EE2B02"/>
    <w:rsid w:val="00EE31B3"/>
    <w:rsid w:val="00EE472A"/>
    <w:rsid w:val="00EF11A3"/>
    <w:rsid w:val="00EF5DAC"/>
    <w:rsid w:val="00EF6DEE"/>
    <w:rsid w:val="00F023B8"/>
    <w:rsid w:val="00F11DC3"/>
    <w:rsid w:val="00F166B6"/>
    <w:rsid w:val="00F20E21"/>
    <w:rsid w:val="00F212C3"/>
    <w:rsid w:val="00F252AD"/>
    <w:rsid w:val="00F320EF"/>
    <w:rsid w:val="00F3218A"/>
    <w:rsid w:val="00F33AE6"/>
    <w:rsid w:val="00F341ED"/>
    <w:rsid w:val="00F34787"/>
    <w:rsid w:val="00F358CB"/>
    <w:rsid w:val="00F405D2"/>
    <w:rsid w:val="00F47743"/>
    <w:rsid w:val="00F519FB"/>
    <w:rsid w:val="00F54E2D"/>
    <w:rsid w:val="00F57119"/>
    <w:rsid w:val="00F60CB5"/>
    <w:rsid w:val="00F738B9"/>
    <w:rsid w:val="00F74241"/>
    <w:rsid w:val="00F77867"/>
    <w:rsid w:val="00F77A11"/>
    <w:rsid w:val="00F77AD1"/>
    <w:rsid w:val="00F804D1"/>
    <w:rsid w:val="00F8766A"/>
    <w:rsid w:val="00F92391"/>
    <w:rsid w:val="00FA0267"/>
    <w:rsid w:val="00FA1FBB"/>
    <w:rsid w:val="00FA78A9"/>
    <w:rsid w:val="00FB3AD9"/>
    <w:rsid w:val="00FC08B7"/>
    <w:rsid w:val="00FC2270"/>
    <w:rsid w:val="00FC5035"/>
    <w:rsid w:val="00FC6A8F"/>
    <w:rsid w:val="00FD12C8"/>
    <w:rsid w:val="00FD413B"/>
    <w:rsid w:val="00FD4E3A"/>
    <w:rsid w:val="00FD54FE"/>
    <w:rsid w:val="00FD6260"/>
    <w:rsid w:val="00FD70D0"/>
    <w:rsid w:val="00FE7D95"/>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Overskrift1">
    <w:name w:val="heading 1"/>
    <w:basedOn w:val="Normal"/>
    <w:next w:val="Normal"/>
    <w:link w:val="Overskrift1Tegn"/>
    <w:autoRedefine/>
    <w:qFormat/>
    <w:rsid w:val="00001320"/>
    <w:pPr>
      <w:keepNext/>
      <w:numPr>
        <w:numId w:val="3"/>
      </w:numPr>
      <w:spacing w:before="120" w:line="240" w:lineRule="auto"/>
      <w:outlineLvl w:val="0"/>
    </w:pPr>
    <w:rPr>
      <w:b/>
      <w:bCs/>
      <w:kern w:val="32"/>
      <w:sz w:val="28"/>
      <w:szCs w:val="32"/>
    </w:rPr>
  </w:style>
  <w:style w:type="paragraph" w:styleId="Overskrift2">
    <w:name w:val="heading 2"/>
    <w:basedOn w:val="Overskrift1"/>
    <w:next w:val="Normal"/>
    <w:link w:val="Overskrift2Tegn"/>
    <w:qFormat/>
    <w:rsid w:val="00001320"/>
    <w:pPr>
      <w:numPr>
        <w:ilvl w:val="1"/>
      </w:numPr>
      <w:outlineLvl w:val="1"/>
    </w:pPr>
    <w:rPr>
      <w:rFonts w:cs="Arial"/>
      <w:b w:val="0"/>
      <w:bCs w:val="0"/>
      <w:iCs/>
      <w:sz w:val="24"/>
      <w:szCs w:val="28"/>
      <w:lang w:val="en-US"/>
    </w:rPr>
  </w:style>
  <w:style w:type="paragraph" w:styleId="Overskrift3">
    <w:name w:val="heading 3"/>
    <w:basedOn w:val="Normal"/>
    <w:next w:val="Normal"/>
    <w:link w:val="Overskrift3Tegn"/>
    <w:rsid w:val="00946375"/>
    <w:pPr>
      <w:keepNext/>
      <w:spacing w:before="240" w:after="60"/>
      <w:outlineLvl w:val="2"/>
    </w:pPr>
    <w:rPr>
      <w:b/>
      <w:bCs/>
      <w:sz w:val="22"/>
      <w:szCs w:val="26"/>
    </w:rPr>
  </w:style>
  <w:style w:type="paragraph" w:styleId="Overskrift4">
    <w:name w:val="heading 4"/>
    <w:basedOn w:val="Normal"/>
    <w:next w:val="Normal"/>
    <w:link w:val="Overskrift4Tegn"/>
    <w:rsid w:val="00001320"/>
    <w:pPr>
      <w:keepNext/>
      <w:numPr>
        <w:ilvl w:val="3"/>
        <w:numId w:val="3"/>
      </w:numPr>
      <w:spacing w:before="240" w:after="60"/>
      <w:outlineLvl w:val="3"/>
    </w:pPr>
    <w:rPr>
      <w:rFonts w:ascii="Cambria" w:hAnsi="Cambria"/>
      <w:b/>
      <w:bCs/>
      <w:sz w:val="28"/>
      <w:szCs w:val="28"/>
    </w:rPr>
  </w:style>
  <w:style w:type="paragraph" w:styleId="Overskrift5">
    <w:name w:val="heading 5"/>
    <w:basedOn w:val="Normal"/>
    <w:next w:val="Normal"/>
    <w:link w:val="Overskrift5Tegn"/>
    <w:rsid w:val="00001320"/>
    <w:pPr>
      <w:numPr>
        <w:ilvl w:val="4"/>
        <w:numId w:val="3"/>
      </w:numPr>
      <w:spacing w:before="240" w:after="60"/>
      <w:outlineLvl w:val="4"/>
    </w:pPr>
    <w:rPr>
      <w:rFonts w:ascii="Cambria" w:hAnsi="Cambria"/>
      <w:b/>
      <w:bCs/>
      <w:i/>
      <w:iCs/>
      <w:sz w:val="26"/>
      <w:szCs w:val="26"/>
    </w:rPr>
  </w:style>
  <w:style w:type="paragraph" w:styleId="Overskrift6">
    <w:name w:val="heading 6"/>
    <w:basedOn w:val="Normal"/>
    <w:next w:val="Normal"/>
    <w:link w:val="Overskrift6Tegn"/>
    <w:rsid w:val="00001320"/>
    <w:pPr>
      <w:numPr>
        <w:ilvl w:val="5"/>
        <w:numId w:val="3"/>
      </w:numPr>
      <w:spacing w:before="240" w:after="60"/>
      <w:outlineLvl w:val="5"/>
    </w:pPr>
    <w:rPr>
      <w:rFonts w:ascii="Cambria" w:hAnsi="Cambria"/>
      <w:b/>
      <w:bCs/>
      <w:szCs w:val="22"/>
    </w:rPr>
  </w:style>
  <w:style w:type="paragraph" w:styleId="Overskrift7">
    <w:name w:val="heading 7"/>
    <w:basedOn w:val="Normal"/>
    <w:next w:val="Normal"/>
    <w:link w:val="Overskrift7Tegn"/>
    <w:rsid w:val="00001320"/>
    <w:pPr>
      <w:numPr>
        <w:ilvl w:val="6"/>
        <w:numId w:val="3"/>
      </w:numPr>
      <w:spacing w:before="240" w:after="60"/>
      <w:outlineLvl w:val="6"/>
    </w:pPr>
    <w:rPr>
      <w:rFonts w:ascii="Cambria" w:hAnsi="Cambria"/>
      <w:sz w:val="24"/>
    </w:rPr>
  </w:style>
  <w:style w:type="paragraph" w:styleId="Overskrift8">
    <w:name w:val="heading 8"/>
    <w:basedOn w:val="Normal"/>
    <w:next w:val="Normal"/>
    <w:link w:val="Overskrift8Tegn"/>
    <w:rsid w:val="00001320"/>
    <w:pPr>
      <w:numPr>
        <w:ilvl w:val="7"/>
        <w:numId w:val="3"/>
      </w:numPr>
      <w:spacing w:before="240" w:after="60"/>
      <w:outlineLvl w:val="7"/>
    </w:pPr>
    <w:rPr>
      <w:rFonts w:ascii="Cambria" w:hAnsi="Cambria"/>
      <w:i/>
      <w:iCs/>
      <w:sz w:val="24"/>
    </w:rPr>
  </w:style>
  <w:style w:type="paragraph" w:styleId="Overskrift9">
    <w:name w:val="heading 9"/>
    <w:basedOn w:val="Normal"/>
    <w:next w:val="Normal"/>
    <w:link w:val="Overskrift9Tegn"/>
    <w:rsid w:val="00001320"/>
    <w:pPr>
      <w:numPr>
        <w:ilvl w:val="8"/>
        <w:numId w:val="3"/>
      </w:numPr>
      <w:spacing w:before="240" w:after="60"/>
      <w:outlineLvl w:val="8"/>
    </w:pPr>
    <w:rPr>
      <w:rFonts w:ascii="Calibri" w:hAnsi="Calibri"/>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rsid w:val="00001320"/>
    <w:rPr>
      <w:rFonts w:ascii="Verdana" w:hAnsi="Verdana" w:cs="Arial"/>
      <w:iCs/>
      <w:kern w:val="32"/>
      <w:szCs w:val="28"/>
      <w:lang w:eastAsia="en-US"/>
    </w:rPr>
  </w:style>
  <w:style w:type="character" w:styleId="Sidetall">
    <w:name w:val="page number"/>
    <w:aliases w:val="ESPON Page No"/>
    <w:basedOn w:val="Standardskriftforavsnitt"/>
    <w:rsid w:val="00A15B61"/>
  </w:style>
  <w:style w:type="character" w:styleId="Hyperkobling">
    <w:name w:val="Hyperlink"/>
    <w:basedOn w:val="Standardskriftforav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Topptekst">
    <w:name w:val="header"/>
    <w:basedOn w:val="Normal"/>
    <w:rsid w:val="00A15B61"/>
    <w:pPr>
      <w:tabs>
        <w:tab w:val="center" w:pos="4320"/>
        <w:tab w:val="right" w:pos="8640"/>
      </w:tabs>
    </w:pPr>
  </w:style>
  <w:style w:type="paragraph" w:styleId="Bunntekst">
    <w:name w:val="footer"/>
    <w:basedOn w:val="Normal"/>
    <w:link w:val="BunntekstTegn"/>
    <w:rsid w:val="00A15B61"/>
    <w:pPr>
      <w:tabs>
        <w:tab w:val="center" w:pos="4320"/>
        <w:tab w:val="right" w:pos="8640"/>
      </w:tabs>
    </w:pPr>
  </w:style>
  <w:style w:type="table" w:styleId="Tabellrutenett">
    <w:name w:val="Table Grid"/>
    <w:basedOn w:val="Vanlig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bletekst">
    <w:name w:val="Balloon Text"/>
    <w:basedOn w:val="Normal"/>
    <w:link w:val="BobletekstTegn"/>
    <w:uiPriority w:val="99"/>
    <w:semiHidden/>
    <w:unhideWhenUsed/>
    <w:rsid w:val="00721B03"/>
    <w:rPr>
      <w:rFonts w:ascii="Tahoma" w:hAnsi="Tahoma" w:cs="Tahoma"/>
      <w:sz w:val="16"/>
      <w:szCs w:val="16"/>
    </w:rPr>
  </w:style>
  <w:style w:type="character" w:customStyle="1" w:styleId="BobletekstTegn">
    <w:name w:val="Bobletekst Tegn"/>
    <w:basedOn w:val="Standardskriftforavsnitt"/>
    <w:link w:val="Bobletekst"/>
    <w:uiPriority w:val="99"/>
    <w:semiHidden/>
    <w:rsid w:val="00721B03"/>
    <w:rPr>
      <w:rFonts w:ascii="Tahoma" w:hAnsi="Tahoma" w:cs="Tahoma"/>
      <w:sz w:val="16"/>
      <w:szCs w:val="16"/>
      <w:lang w:val="en-GB"/>
    </w:rPr>
  </w:style>
  <w:style w:type="character" w:styleId="Fotnotereferanse">
    <w:name w:val="footnote reference"/>
    <w:basedOn w:val="Standardskriftforavsnitt"/>
    <w:semiHidden/>
    <w:rsid w:val="00C47ADC"/>
    <w:rPr>
      <w:sz w:val="20"/>
      <w:vertAlign w:val="superscript"/>
    </w:rPr>
  </w:style>
  <w:style w:type="paragraph" w:styleId="Fotnotetekst">
    <w:name w:val="footnote text"/>
    <w:link w:val="FotnotetekstTegn"/>
    <w:semiHidden/>
    <w:rsid w:val="00FD6260"/>
    <w:pPr>
      <w:jc w:val="both"/>
    </w:pPr>
    <w:rPr>
      <w:rFonts w:ascii="Arial" w:hAnsi="Arial"/>
      <w:sz w:val="18"/>
      <w:lang w:val="en-GB" w:eastAsia="en-US"/>
    </w:rPr>
  </w:style>
  <w:style w:type="character" w:customStyle="1" w:styleId="FotnotetekstTegn">
    <w:name w:val="Fotnotetekst Tegn"/>
    <w:basedOn w:val="Standardskriftforavsnitt"/>
    <w:link w:val="Fotnoteteks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BunntekstTegn">
    <w:name w:val="Bunntekst Tegn"/>
    <w:basedOn w:val="Standardskriftforavsnitt"/>
    <w:link w:val="Bunntekst"/>
    <w:rsid w:val="0047467F"/>
    <w:rPr>
      <w:rFonts w:ascii="Verdana" w:hAnsi="Verdana"/>
      <w:sz w:val="24"/>
      <w:szCs w:val="24"/>
      <w:lang w:val="en-GB"/>
    </w:rPr>
  </w:style>
  <w:style w:type="character" w:customStyle="1" w:styleId="Overskrift1Tegn">
    <w:name w:val="Overskrift 1 Tegn"/>
    <w:basedOn w:val="Standardskriftforavsnitt"/>
    <w:link w:val="Overskrift1"/>
    <w:rsid w:val="00001320"/>
    <w:rPr>
      <w:rFonts w:ascii="Verdana" w:hAnsi="Verdana"/>
      <w:b/>
      <w:bCs/>
      <w:kern w:val="32"/>
      <w:sz w:val="28"/>
      <w:szCs w:val="32"/>
      <w:lang w:val="en-GB" w:eastAsia="en-US"/>
    </w:rPr>
  </w:style>
  <w:style w:type="character" w:customStyle="1" w:styleId="Overskrift3Tegn">
    <w:name w:val="Overskrift 3 Tegn"/>
    <w:basedOn w:val="Standardskriftforavsnitt"/>
    <w:link w:val="Overskrift3"/>
    <w:rsid w:val="00946375"/>
    <w:rPr>
      <w:rFonts w:ascii="Verdana" w:hAnsi="Verdana"/>
      <w:b/>
      <w:bCs/>
      <w:sz w:val="22"/>
      <w:szCs w:val="26"/>
      <w:lang w:val="en-GB" w:eastAsia="en-US"/>
    </w:rPr>
  </w:style>
  <w:style w:type="character" w:customStyle="1" w:styleId="Overskrift4Tegn">
    <w:name w:val="Overskrift 4 Tegn"/>
    <w:basedOn w:val="Standardskriftforavsnitt"/>
    <w:link w:val="Overskrift4"/>
    <w:rsid w:val="00001320"/>
    <w:rPr>
      <w:rFonts w:ascii="Cambria" w:hAnsi="Cambria"/>
      <w:b/>
      <w:bCs/>
      <w:sz w:val="28"/>
      <w:szCs w:val="28"/>
      <w:lang w:val="en-GB" w:eastAsia="en-US"/>
    </w:rPr>
  </w:style>
  <w:style w:type="character" w:customStyle="1" w:styleId="Overskrift5Tegn">
    <w:name w:val="Overskrift 5 Tegn"/>
    <w:basedOn w:val="Standardskriftforavsnitt"/>
    <w:link w:val="Overskrift5"/>
    <w:rsid w:val="00001320"/>
    <w:rPr>
      <w:rFonts w:ascii="Cambria" w:hAnsi="Cambria"/>
      <w:b/>
      <w:bCs/>
      <w:i/>
      <w:iCs/>
      <w:sz w:val="26"/>
      <w:szCs w:val="26"/>
      <w:lang w:val="en-GB" w:eastAsia="en-US"/>
    </w:rPr>
  </w:style>
  <w:style w:type="character" w:customStyle="1" w:styleId="Overskrift6Tegn">
    <w:name w:val="Overskrift 6 Tegn"/>
    <w:basedOn w:val="Standardskriftforavsnitt"/>
    <w:link w:val="Overskrift6"/>
    <w:rsid w:val="00001320"/>
    <w:rPr>
      <w:rFonts w:ascii="Cambria" w:hAnsi="Cambria"/>
      <w:b/>
      <w:bCs/>
      <w:sz w:val="20"/>
      <w:szCs w:val="22"/>
      <w:lang w:val="en-GB" w:eastAsia="en-US"/>
    </w:rPr>
  </w:style>
  <w:style w:type="character" w:customStyle="1" w:styleId="Overskrift7Tegn">
    <w:name w:val="Overskrift 7 Tegn"/>
    <w:basedOn w:val="Standardskriftforavsnitt"/>
    <w:link w:val="Overskrift7"/>
    <w:rsid w:val="00001320"/>
    <w:rPr>
      <w:rFonts w:ascii="Cambria" w:hAnsi="Cambria"/>
      <w:lang w:val="en-GB" w:eastAsia="en-US"/>
    </w:rPr>
  </w:style>
  <w:style w:type="character" w:customStyle="1" w:styleId="Overskrift8Tegn">
    <w:name w:val="Overskrift 8 Tegn"/>
    <w:basedOn w:val="Standardskriftforavsnitt"/>
    <w:link w:val="Overskrift8"/>
    <w:rsid w:val="00001320"/>
    <w:rPr>
      <w:rFonts w:ascii="Cambria" w:hAnsi="Cambria"/>
      <w:i/>
      <w:iCs/>
      <w:lang w:val="en-GB" w:eastAsia="en-US"/>
    </w:rPr>
  </w:style>
  <w:style w:type="character" w:customStyle="1" w:styleId="Overskrift9Tegn">
    <w:name w:val="Overskrift 9 Tegn"/>
    <w:basedOn w:val="Standardskriftforavsnitt"/>
    <w:link w:val="Overskrift9"/>
    <w:rsid w:val="00001320"/>
    <w:rPr>
      <w:rFonts w:ascii="Calibri" w:hAnsi="Calibri"/>
      <w:sz w:val="20"/>
      <w:szCs w:val="22"/>
      <w:lang w:val="en-GB" w:eastAsia="en-US"/>
    </w:rPr>
  </w:style>
  <w:style w:type="paragraph" w:styleId="Listeavsnitt">
    <w:name w:val="List Paragraph"/>
    <w:basedOn w:val="Normal"/>
    <w:qFormat/>
    <w:rsid w:val="00B969F0"/>
    <w:pPr>
      <w:ind w:left="720"/>
      <w:contextualSpacing/>
    </w:pPr>
  </w:style>
  <w:style w:type="character" w:styleId="Merknadsreferanse">
    <w:name w:val="annotation reference"/>
    <w:basedOn w:val="Standardskriftforavsnitt"/>
    <w:rsid w:val="004933BE"/>
    <w:rPr>
      <w:sz w:val="16"/>
      <w:szCs w:val="16"/>
    </w:rPr>
  </w:style>
  <w:style w:type="paragraph" w:styleId="Merknadstekst">
    <w:name w:val="annotation text"/>
    <w:basedOn w:val="Normal"/>
    <w:link w:val="MerknadstekstTegn"/>
    <w:rsid w:val="004933BE"/>
    <w:pPr>
      <w:spacing w:line="240" w:lineRule="auto"/>
    </w:pPr>
    <w:rPr>
      <w:szCs w:val="20"/>
    </w:rPr>
  </w:style>
  <w:style w:type="character" w:customStyle="1" w:styleId="MerknadstekstTegn">
    <w:name w:val="Merknadstekst Tegn"/>
    <w:basedOn w:val="Standardskriftforavsnitt"/>
    <w:link w:val="Merknadstekst"/>
    <w:rsid w:val="004933BE"/>
    <w:rPr>
      <w:rFonts w:ascii="Verdana" w:hAnsi="Verdana"/>
      <w:sz w:val="20"/>
      <w:szCs w:val="20"/>
      <w:lang w:val="en-GB" w:eastAsia="en-US"/>
    </w:rPr>
  </w:style>
  <w:style w:type="paragraph" w:styleId="Kommentaremne">
    <w:name w:val="annotation subject"/>
    <w:basedOn w:val="Merknadstekst"/>
    <w:next w:val="Merknadstekst"/>
    <w:link w:val="KommentaremneTegn"/>
    <w:rsid w:val="004933BE"/>
    <w:rPr>
      <w:b/>
      <w:bCs/>
    </w:rPr>
  </w:style>
  <w:style w:type="character" w:customStyle="1" w:styleId="KommentaremneTegn">
    <w:name w:val="Kommentaremne Tegn"/>
    <w:basedOn w:val="MerknadstekstTegn"/>
    <w:link w:val="Kommentare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ildetekst">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jon">
    <w:name w:val="Revision"/>
    <w:hidden/>
    <w:rsid w:val="00086387"/>
    <w:rPr>
      <w:rFonts w:ascii="Verdana" w:hAnsi="Verdana"/>
      <w:sz w:val="20"/>
      <w:lang w:val="en-GB" w:eastAsia="en-US"/>
    </w:rPr>
  </w:style>
  <w:style w:type="character" w:styleId="Fulgthyperkobling">
    <w:name w:val="FollowedHyperlink"/>
    <w:basedOn w:val="Standardskriftforavsnitt"/>
    <w:rsid w:val="00A02FD6"/>
    <w:rPr>
      <w:color w:val="800080" w:themeColor="followedHyperlink"/>
      <w:u w:val="single"/>
    </w:rPr>
  </w:style>
  <w:style w:type="character" w:customStyle="1" w:styleId="apple-converted-space">
    <w:name w:val="apple-converted-space"/>
    <w:basedOn w:val="Standardskriftforavsnitt"/>
    <w:rsid w:val="00654361"/>
  </w:style>
  <w:style w:type="character" w:customStyle="1" w:styleId="hps">
    <w:name w:val="hps"/>
    <w:basedOn w:val="Standardskriftforavsnit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550580950">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9516199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www.espon.eu"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epp.eurostat.ec.europa.eu/portal/page/portal/eurostat/home"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spon.eu/main/Menu_Projects/" TargetMode="External"/><Relationship Id="rId32"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F89E7376-9829-4F87-9015-95E1E26E7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2967</Words>
  <Characters>15729</Characters>
  <Application>Microsoft Office Word</Application>
  <DocSecurity>4</DocSecurity>
  <Lines>131</Lines>
  <Paragraphs>37</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18659</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Testbruker</cp:lastModifiedBy>
  <cp:revision>2</cp:revision>
  <cp:lastPrinted>2012-10-24T13:11:00Z</cp:lastPrinted>
  <dcterms:created xsi:type="dcterms:W3CDTF">2013-02-28T09:29:00Z</dcterms:created>
  <dcterms:modified xsi:type="dcterms:W3CDTF">2013-02-28T09:29:00Z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