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D8217F" w:rsidRDefault="0081363D" w:rsidP="002A15B2">
      <w:pPr>
        <w:spacing w:line="240" w:lineRule="auto"/>
        <w:ind w:left="-851"/>
        <w:jc w:val="center"/>
        <w:rPr>
          <w:rFonts w:ascii="Arial" w:hAnsi="Arial" w:cs="Arial"/>
          <w:sz w:val="40"/>
          <w:szCs w:val="40"/>
          <w:lang w:val="en-US"/>
        </w:rPr>
      </w:pPr>
      <w:r w:rsidRPr="00D8217F">
        <w:rPr>
          <w:rFonts w:ascii="Arial" w:hAnsi="Arial" w:cs="Arial"/>
          <w:sz w:val="40"/>
          <w:szCs w:val="40"/>
          <w:lang w:val="en-US"/>
        </w:rPr>
        <w:t>Botnia</w:t>
      </w:r>
      <w:r w:rsidR="00AF3A28">
        <w:rPr>
          <w:rFonts w:ascii="Arial" w:hAnsi="Arial" w:cs="Arial"/>
          <w:sz w:val="40"/>
          <w:szCs w:val="40"/>
          <w:lang w:val="en-US"/>
        </w:rPr>
        <w:t xml:space="preserve"> – </w:t>
      </w:r>
      <w:r w:rsidR="00AF3A28" w:rsidRPr="00D8217F">
        <w:rPr>
          <w:rFonts w:ascii="Arial" w:hAnsi="Arial" w:cs="Arial"/>
          <w:sz w:val="40"/>
          <w:szCs w:val="40"/>
          <w:lang w:val="en-US"/>
        </w:rPr>
        <w:t>Atlantica</w:t>
      </w:r>
    </w:p>
    <w:p w:rsidR="00E613A3" w:rsidRDefault="000C1937" w:rsidP="00337519">
      <w:pPr>
        <w:spacing w:after="0" w:line="240" w:lineRule="auto"/>
        <w:ind w:left="-851"/>
        <w:jc w:val="center"/>
        <w:rPr>
          <w:rFonts w:ascii="Arial" w:hAnsi="Arial" w:cs="Arial"/>
          <w:sz w:val="32"/>
          <w:szCs w:val="32"/>
          <w:lang w:val="en-US"/>
        </w:rPr>
      </w:pPr>
      <w:r>
        <w:rPr>
          <w:rFonts w:ascii="Arial" w:hAnsi="Arial" w:cs="Arial"/>
          <w:noProof/>
          <w:sz w:val="32"/>
          <w:szCs w:val="32"/>
          <w:lang w:val="nb-NO" w:eastAsia="nb-NO"/>
        </w:rPr>
        <w:drawing>
          <wp:anchor distT="0" distB="0" distL="114300" distR="114300" simplePos="0" relativeHeight="251662848" behindDoc="0" locked="0" layoutInCell="1" allowOverlap="1">
            <wp:simplePos x="0" y="0"/>
            <wp:positionH relativeFrom="column">
              <wp:posOffset>3034030</wp:posOffset>
            </wp:positionH>
            <wp:positionV relativeFrom="paragraph">
              <wp:posOffset>3910330</wp:posOffset>
            </wp:positionV>
            <wp:extent cx="911225" cy="417830"/>
            <wp:effectExtent l="19050" t="0" r="3175"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1225" cy="417830"/>
                    </a:xfrm>
                    <a:prstGeom prst="rect">
                      <a:avLst/>
                    </a:prstGeom>
                    <a:noFill/>
                    <a:ln w="9525">
                      <a:noFill/>
                      <a:miter lim="800000"/>
                      <a:headEnd/>
                      <a:tailEnd/>
                    </a:ln>
                  </pic:spPr>
                </pic:pic>
              </a:graphicData>
            </a:graphic>
          </wp:anchor>
        </w:drawing>
      </w:r>
      <w:r w:rsidR="0081363D">
        <w:rPr>
          <w:rFonts w:ascii="Arial" w:hAnsi="Arial" w:cs="Arial"/>
          <w:noProof/>
          <w:sz w:val="32"/>
          <w:szCs w:val="32"/>
          <w:lang w:val="nb-NO" w:eastAsia="nb-NO"/>
        </w:rPr>
        <w:drawing>
          <wp:inline distT="0" distB="0" distL="0" distR="0">
            <wp:extent cx="2676525" cy="4572000"/>
            <wp:effectExtent l="1905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76525" cy="45720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D8217F" w:rsidRDefault="00D8217F" w:rsidP="00D8217F">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D8217F" w:rsidRDefault="00D8217F" w:rsidP="00D8217F">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Overskrift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1234C2" w:rsidRPr="0085195F" w:rsidRDefault="000A647A" w:rsidP="001234C2">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1234C2" w:rsidRPr="0085195F">
        <w:t>This is intended as an electronic publication so map quality is generally high to allow users to zoom into specific territories.</w:t>
      </w:r>
    </w:p>
    <w:p w:rsidR="000A647A" w:rsidRDefault="001234C2" w:rsidP="001234C2">
      <w:pPr>
        <w:shd w:val="clear" w:color="auto" w:fill="FFFFFF"/>
      </w:pPr>
      <w:r w:rsidRPr="0085195F">
        <w:t>This factsheet does not necessarily reflect the opinion of the ESPON Monitoring Committee.</w:t>
      </w:r>
    </w:p>
    <w:p w:rsidR="00A433AA" w:rsidRDefault="00A433AA" w:rsidP="00BA161A">
      <w:pPr>
        <w:pStyle w:val="Overskrift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934D0E" w:rsidRDefault="00934D0E" w:rsidP="00934D0E">
      <w:r>
        <w:t>In the following the traffic light for each indicator represents how your programme territory compares to wider European and national medians where green = your programme area performs better for that indicator, yellow = similar, and red = wors</w:t>
      </w:r>
      <w:r w:rsidR="002A0E57">
        <w:t>e.</w:t>
      </w:r>
    </w:p>
    <w:p w:rsidR="002361D1" w:rsidRDefault="002361D1" w:rsidP="002361D1">
      <w:r>
        <w:t>In creating the traffic</w:t>
      </w:r>
      <w:r w:rsidR="00701B4A">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FE35C3" w:rsidRDefault="00FE35C3" w:rsidP="00FE35C3">
      <w:pPr>
        <w:spacing w:after="240"/>
      </w:pPr>
      <w:r>
        <w:t>EU 27+4 in Traffic Lights and box-plots means</w:t>
      </w:r>
      <w:r w:rsidRPr="00021CAB">
        <w:t xml:space="preserve"> the EU Member States a</w:t>
      </w:r>
      <w:r>
        <w:t>s well as</w:t>
      </w:r>
      <w:r w:rsidRPr="00021CAB">
        <w:t xml:space="preserve"> Iceland, Li</w:t>
      </w:r>
      <w:r w:rsidR="006D7F5A">
        <w:t>e</w:t>
      </w:r>
      <w:r w:rsidRPr="00021CAB">
        <w:t xml:space="preserve">chtenstein, Norway and Switzerland – the </w:t>
      </w:r>
      <w:r>
        <w:t>ESPON space</w:t>
      </w:r>
      <w:r w:rsidR="0015600D">
        <w:t>.</w:t>
      </w:r>
    </w:p>
    <w:p w:rsidR="00337872" w:rsidRDefault="00337872" w:rsidP="00337872">
      <w:pPr>
        <w:pStyle w:val="Overskrift3"/>
      </w:pPr>
      <w:r w:rsidRPr="002361D1">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7818D2" w:rsidRDefault="00D334B0" w:rsidP="00D334B0">
      <w:r>
        <w:rPr>
          <w:noProof/>
          <w:lang w:val="nb-NO" w:eastAsia="nb-NO"/>
        </w:rPr>
        <w:drawing>
          <wp:anchor distT="0" distB="0" distL="114300" distR="114300" simplePos="0" relativeHeight="251672064" behindDoc="1" locked="0" layoutInCell="1" allowOverlap="1">
            <wp:simplePos x="0" y="0"/>
            <wp:positionH relativeFrom="column">
              <wp:posOffset>15240</wp:posOffset>
            </wp:positionH>
            <wp:positionV relativeFrom="paragraph">
              <wp:posOffset>36830</wp:posOffset>
            </wp:positionV>
            <wp:extent cx="5273675" cy="2455545"/>
            <wp:effectExtent l="19050" t="0" r="3175" b="0"/>
            <wp:wrapTight wrapText="bothSides">
              <wp:wrapPolygon edited="0">
                <wp:start x="-78" y="0"/>
                <wp:lineTo x="-78" y="21449"/>
                <wp:lineTo x="21613" y="21449"/>
                <wp:lineTo x="21613" y="0"/>
                <wp:lineTo x="-78" y="0"/>
              </wp:wrapPolygon>
            </wp:wrapTight>
            <wp:docPr id="8" name="Bild 1" descr="P:\LU_2011_ESPON_TerrEvi_100269\03_Project development\WorkinProgress_FactSheets\Factsheets_CBC_neu\TL_CBC3\Botnia-Atlant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Botnia-Atlantica 1.png"/>
                    <pic:cNvPicPr>
                      <a:picLocks noChangeAspect="1" noChangeArrowheads="1"/>
                    </pic:cNvPicPr>
                  </pic:nvPicPr>
                  <pic:blipFill>
                    <a:blip r:embed="rId16" cstate="print"/>
                    <a:srcRect/>
                    <a:stretch>
                      <a:fillRect/>
                    </a:stretch>
                  </pic:blipFill>
                  <pic:spPr bwMode="auto">
                    <a:xfrm>
                      <a:off x="0" y="0"/>
                      <a:ext cx="5273675" cy="2455545"/>
                    </a:xfrm>
                    <a:prstGeom prst="rect">
                      <a:avLst/>
                    </a:prstGeom>
                    <a:noFill/>
                    <a:ln w="9525">
                      <a:noFill/>
                      <a:miter lim="800000"/>
                      <a:headEnd/>
                      <a:tailEnd/>
                    </a:ln>
                  </pic:spPr>
                </pic:pic>
              </a:graphicData>
            </a:graphic>
          </wp:anchor>
        </w:drawing>
      </w:r>
      <w:r w:rsidR="007818D2" w:rsidRPr="00B92990">
        <w:t xml:space="preserve">According to all indicators reported above, the </w:t>
      </w:r>
      <w:r w:rsidR="007818D2">
        <w:t>Botnia</w:t>
      </w:r>
      <w:r w:rsidR="007818D2" w:rsidRPr="00B92990">
        <w:t xml:space="preserve"> </w:t>
      </w:r>
      <w:r w:rsidR="00EC2089">
        <w:t xml:space="preserve">- Atlantica </w:t>
      </w:r>
      <w:r w:rsidR="007818D2" w:rsidRPr="00B92990">
        <w:t>CBC area performs at a</w:t>
      </w:r>
      <w:r w:rsidR="007818D2">
        <w:t xml:space="preserve"> better</w:t>
      </w:r>
      <w:r w:rsidR="007818D2" w:rsidRPr="00B92990">
        <w:t xml:space="preserve"> level </w:t>
      </w:r>
      <w:r w:rsidR="007818D2">
        <w:t>than</w:t>
      </w:r>
      <w:r w:rsidR="007818D2" w:rsidRPr="00B92990">
        <w:t xml:space="preserve"> the EU27+4 space and all CBC </w:t>
      </w:r>
      <w:r w:rsidR="007818D2">
        <w:t>areas but mostly underperforms compared to national values</w:t>
      </w:r>
      <w:r w:rsidR="007818D2" w:rsidRPr="00B92990">
        <w:t>. Considering the ob</w:t>
      </w:r>
      <w:r w:rsidR="007818D2">
        <w:t xml:space="preserve">jective of R&amp;D expenditure </w:t>
      </w:r>
      <w:r w:rsidR="007818D2" w:rsidRPr="00B92990">
        <w:t xml:space="preserve">- one of the five headline targets in the Europe 2020 Strategy - the CBC area is </w:t>
      </w:r>
      <w:r w:rsidR="007818D2" w:rsidRPr="00832CA7">
        <w:t>still in a better position than</w:t>
      </w:r>
      <w:r w:rsidR="007818D2">
        <w:t xml:space="preserve"> </w:t>
      </w:r>
      <w:r w:rsidR="007818D2" w:rsidRPr="00B92990">
        <w:t xml:space="preserve">the EU27+4 space and all CBC. Moreover, </w:t>
      </w:r>
      <w:r w:rsidR="00EC2089">
        <w:t xml:space="preserve">the </w:t>
      </w:r>
      <w:r w:rsidR="007818D2">
        <w:t>Botnia</w:t>
      </w:r>
      <w:r w:rsidR="00EC2089">
        <w:t xml:space="preserve"> - Atlantica</w:t>
      </w:r>
      <w:r w:rsidR="007818D2">
        <w:t xml:space="preserve"> CBC area is characteris</w:t>
      </w:r>
      <w:r w:rsidR="007818D2" w:rsidRPr="00B92990">
        <w:t xml:space="preserve">ed by a </w:t>
      </w:r>
      <w:r w:rsidR="007818D2" w:rsidRPr="00F2549D">
        <w:t xml:space="preserve">high level of internal disparity due to a worse performance of the CBC area compared both Finland and </w:t>
      </w:r>
      <w:r w:rsidR="007818D2">
        <w:t>Sweden</w:t>
      </w:r>
      <w:r w:rsidR="007818D2" w:rsidRPr="00B92990">
        <w:t>.</w:t>
      </w:r>
      <w:r w:rsidR="007818D2">
        <w:t xml:space="preserve"> </w:t>
      </w:r>
      <w:r w:rsidR="007818D2" w:rsidRPr="00B92990">
        <w:t>Concerning the ratio of employment in knowledge-intensive service</w:t>
      </w:r>
      <w:r w:rsidR="007818D2">
        <w:t>s</w:t>
      </w:r>
      <w:r w:rsidR="007818D2" w:rsidRPr="00B92990">
        <w:t xml:space="preserve">, the CBC area </w:t>
      </w:r>
      <w:r w:rsidR="007818D2">
        <w:t>had</w:t>
      </w:r>
      <w:r w:rsidR="007818D2" w:rsidRPr="00814DCC">
        <w:t xml:space="preserve"> higher values than</w:t>
      </w:r>
      <w:r w:rsidR="007818D2">
        <w:t xml:space="preserve"> all European and national areas considered. However, the CBC still has a medium level of internal disparities</w:t>
      </w:r>
      <w:r w:rsidR="007818D2" w:rsidRPr="00B92990">
        <w:t xml:space="preserve">. </w:t>
      </w:r>
      <w:r w:rsidR="007818D2" w:rsidRPr="00F2549D">
        <w:t xml:space="preserve">In terms of percentage of individuals regularly using internet in 2011, the CBC has higher values than both the EU27+4 space and all CBCs. </w:t>
      </w:r>
      <w:r w:rsidR="007818D2">
        <w:t>Compared to</w:t>
      </w:r>
      <w:r w:rsidR="007818D2" w:rsidRPr="00F2549D">
        <w:t xml:space="preserve"> Norway and Sweden</w:t>
      </w:r>
      <w:r w:rsidR="007818D2">
        <w:t xml:space="preserve"> as a whole, the CBC underperforms,</w:t>
      </w:r>
      <w:r w:rsidR="007818D2" w:rsidRPr="00F2549D">
        <w:t xml:space="preserve"> with a low level of internal disparity.</w:t>
      </w:r>
    </w:p>
    <w:p w:rsidR="007818D2" w:rsidRDefault="007818D2" w:rsidP="007818D2">
      <w:r>
        <w:t>According to</w:t>
      </w:r>
      <w:r w:rsidRPr="00B92990">
        <w:t xml:space="preserve"> the </w:t>
      </w:r>
      <w:r>
        <w:t>classification o</w:t>
      </w:r>
      <w:r w:rsidRPr="00B92990">
        <w:t xml:space="preserve">f the KIT project, </w:t>
      </w:r>
      <w:r>
        <w:t>MAP 1</w:t>
      </w:r>
      <w:r w:rsidRPr="00B92990">
        <w:t xml:space="preserve"> identifies </w:t>
      </w:r>
      <w:r>
        <w:t>a very varied territorial pattern</w:t>
      </w:r>
      <w:r w:rsidRPr="00B92990">
        <w:t xml:space="preserve"> of innovation:</w:t>
      </w:r>
    </w:p>
    <w:p w:rsidR="007818D2" w:rsidRPr="00AD2C00" w:rsidRDefault="007818D2" w:rsidP="007818D2">
      <w:pPr>
        <w:pStyle w:val="Listeavsnitt"/>
        <w:numPr>
          <w:ilvl w:val="0"/>
          <w:numId w:val="14"/>
        </w:numPr>
        <w:spacing w:line="240" w:lineRule="atLeast"/>
        <w:rPr>
          <w:szCs w:val="20"/>
        </w:rPr>
      </w:pPr>
      <w:r w:rsidRPr="00AD2C00">
        <w:rPr>
          <w:rFonts w:cstheme="minorHAnsi"/>
          <w:szCs w:val="20"/>
        </w:rPr>
        <w:t xml:space="preserve">‘Applied science area’, in </w:t>
      </w:r>
      <w:r>
        <w:rPr>
          <w:rFonts w:cstheme="minorHAnsi"/>
          <w:szCs w:val="20"/>
        </w:rPr>
        <w:t xml:space="preserve">the northern Swedish CBC part and the regions of </w:t>
      </w:r>
      <w:r w:rsidRPr="0003631F">
        <w:rPr>
          <w:rFonts w:cstheme="minorHAnsi"/>
          <w:szCs w:val="20"/>
        </w:rPr>
        <w:t>Keski-Pohjanmaa</w:t>
      </w:r>
      <w:r>
        <w:rPr>
          <w:rFonts w:cstheme="minorHAnsi"/>
          <w:szCs w:val="20"/>
        </w:rPr>
        <w:t xml:space="preserve">, Aaland and </w:t>
      </w:r>
      <w:r w:rsidRPr="00567489">
        <w:rPr>
          <w:rFonts w:cstheme="minorHAnsi"/>
          <w:szCs w:val="20"/>
        </w:rPr>
        <w:t>Varsinais-Suomi</w:t>
      </w:r>
      <w:r>
        <w:rPr>
          <w:rFonts w:cstheme="minorHAnsi"/>
          <w:szCs w:val="20"/>
        </w:rPr>
        <w:t xml:space="preserve"> in Finland</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7818D2" w:rsidRPr="001A612A" w:rsidRDefault="007818D2" w:rsidP="007818D2">
      <w:pPr>
        <w:pStyle w:val="Listeavsnitt"/>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 in the Finnish coastal part of Länsi-Suomi.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w:t>
      </w:r>
      <w:r>
        <w:rPr>
          <w:rFonts w:cstheme="minorHAnsi"/>
          <w:szCs w:val="20"/>
        </w:rPr>
        <w:t xml:space="preserve">d organizational capabilities; </w:t>
      </w:r>
    </w:p>
    <w:p w:rsidR="007818D2" w:rsidRDefault="007818D2" w:rsidP="007818D2">
      <w:pPr>
        <w:pStyle w:val="Listeavsnitt"/>
        <w:numPr>
          <w:ilvl w:val="0"/>
          <w:numId w:val="14"/>
        </w:numPr>
        <w:autoSpaceDE w:val="0"/>
        <w:autoSpaceDN w:val="0"/>
        <w:adjustRightInd w:val="0"/>
        <w:spacing w:after="0" w:line="240" w:lineRule="auto"/>
        <w:jc w:val="left"/>
        <w:rPr>
          <w:rFonts w:cstheme="minorHAnsi"/>
          <w:szCs w:val="20"/>
        </w:rPr>
      </w:pPr>
      <w:r w:rsidRPr="009B52D9">
        <w:rPr>
          <w:rFonts w:cstheme="minorHAnsi"/>
          <w:szCs w:val="20"/>
        </w:rPr>
        <w:t xml:space="preserve">‘Smart technological application area’, in </w:t>
      </w:r>
      <w:r w:rsidRPr="00567489">
        <w:rPr>
          <w:rFonts w:cstheme="minorHAnsi"/>
          <w:szCs w:val="20"/>
        </w:rPr>
        <w:t>Blekinge län</w:t>
      </w:r>
      <w:r>
        <w:rPr>
          <w:rFonts w:cstheme="minorHAnsi"/>
          <w:szCs w:val="20"/>
        </w:rPr>
        <w:t xml:space="preserve"> and </w:t>
      </w:r>
      <w:r w:rsidRPr="00567489">
        <w:rPr>
          <w:rFonts w:cstheme="minorHAnsi"/>
          <w:szCs w:val="20"/>
        </w:rPr>
        <w:t>Hallands län</w:t>
      </w:r>
      <w:r>
        <w:rPr>
          <w:rFonts w:cstheme="minorHAnsi"/>
          <w:szCs w:val="20"/>
        </w:rPr>
        <w:t>, in the Swedish part of the cooperation area</w:t>
      </w:r>
      <w:r w:rsidRPr="009B52D9">
        <w:rPr>
          <w:rFonts w:cstheme="minorHAnsi"/>
          <w:szCs w:val="20"/>
        </w:rPr>
        <w:t>. It is defined by a high product innovation level, with a limited degree of local applied science</w:t>
      </w:r>
      <w:r>
        <w:rPr>
          <w:rFonts w:cstheme="minorHAnsi"/>
          <w:szCs w:val="20"/>
        </w:rPr>
        <w:t xml:space="preserve"> and R&amp;D endowment</w:t>
      </w:r>
      <w:r w:rsidRPr="009B52D9">
        <w:rPr>
          <w:rFonts w:cstheme="minorHAnsi"/>
          <w:szCs w:val="20"/>
        </w:rPr>
        <w:t xml:space="preserve">, and a high creativity which allows translating external basic science and applied science knowledge into innovation. </w:t>
      </w:r>
    </w:p>
    <w:p w:rsidR="007818D2" w:rsidRPr="001B1A7B" w:rsidRDefault="007818D2" w:rsidP="007818D2">
      <w:pPr>
        <w:pStyle w:val="Listeavsnitt"/>
        <w:numPr>
          <w:ilvl w:val="0"/>
          <w:numId w:val="14"/>
        </w:numPr>
        <w:spacing w:line="240" w:lineRule="atLeast"/>
        <w:rPr>
          <w:szCs w:val="20"/>
        </w:rPr>
      </w:pPr>
      <w:r w:rsidRPr="001A612A">
        <w:rPr>
          <w:rFonts w:cstheme="minorHAnsi"/>
          <w:szCs w:val="20"/>
        </w:rPr>
        <w:t>‘Creative imitation area’,</w:t>
      </w:r>
      <w:r>
        <w:rPr>
          <w:rFonts w:cstheme="minorHAnsi"/>
          <w:szCs w:val="20"/>
        </w:rPr>
        <w:t xml:space="preserve"> in the Norwegian</w:t>
      </w:r>
      <w:r w:rsidRPr="001A612A">
        <w:rPr>
          <w:rFonts w:cstheme="minorHAnsi"/>
          <w:szCs w:val="20"/>
        </w:rPr>
        <w:t xml:space="preserve"> </w:t>
      </w:r>
      <w:r>
        <w:rPr>
          <w:rFonts w:cstheme="minorHAnsi"/>
          <w:szCs w:val="20"/>
        </w:rPr>
        <w:t xml:space="preserve">part of the CBC area.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5A5FC4" w:rsidRDefault="005A5FC4" w:rsidP="00C33A99"/>
    <w:p w:rsidR="005A5FC4" w:rsidRDefault="005A5FC4">
      <w:pPr>
        <w:spacing w:after="0" w:line="240" w:lineRule="auto"/>
        <w:jc w:val="left"/>
      </w:pPr>
      <w:r>
        <w:br w:type="page"/>
      </w:r>
    </w:p>
    <w:p w:rsidR="00A06AEA" w:rsidRPr="00C33A99" w:rsidRDefault="00337872" w:rsidP="00A06AEA">
      <w:pPr>
        <w:rPr>
          <w:b/>
        </w:rPr>
      </w:pPr>
      <w:r w:rsidRPr="004E39BD">
        <w:rPr>
          <w:b/>
        </w:rPr>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FF0B61">
        <w:rPr>
          <w:b/>
        </w:rPr>
        <w:t>Botnia</w:t>
      </w:r>
      <w:r w:rsidR="00AF3A28">
        <w:rPr>
          <w:b/>
        </w:rPr>
        <w:t xml:space="preserve"> – Atlantica</w:t>
      </w:r>
    </w:p>
    <w:p w:rsidR="008A3B96" w:rsidRDefault="008A3B96" w:rsidP="008A3B96"/>
    <w:p w:rsidR="008A3B96" w:rsidRDefault="00F65997" w:rsidP="008A3B96">
      <w:pPr>
        <w:spacing w:after="0" w:line="240" w:lineRule="auto"/>
      </w:pPr>
      <w:r w:rsidRPr="00F65997">
        <w:rPr>
          <w:noProof/>
          <w:lang w:val="de-DE" w:eastAsia="de-DE"/>
        </w:rPr>
        <w:pict>
          <v:shape id="_x0000_s1029" style="position:absolute;left:0;text-align:left;margin-left:185.4pt;margin-top:22pt;width:75.7pt;height:98.25pt;z-index:251663872"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E2224C">
        <w:rPr>
          <w:noProof/>
          <w:lang w:val="nb-NO" w:eastAsia="nb-NO"/>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Overskrift3"/>
      </w:pPr>
      <w:r w:rsidRPr="007818D2">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9A71B0">
        <w:t>In the framework of the Europe</w:t>
      </w:r>
      <w:r w:rsidR="00276DA6">
        <w:t xml:space="preserve"> 2020 Strategy it means </w:t>
      </w:r>
      <w:r w:rsidR="006D6890">
        <w:t>focus on competitiveness, resource efficiency, climate change and biodiversity</w:t>
      </w:r>
      <w:r w:rsidR="00276DA6">
        <w:t>.</w:t>
      </w:r>
    </w:p>
    <w:p w:rsidR="005A5FC4" w:rsidRDefault="00D334B0" w:rsidP="00C00C96">
      <w:r>
        <w:rPr>
          <w:noProof/>
          <w:lang w:val="nb-NO" w:eastAsia="nb-NO"/>
        </w:rPr>
        <w:drawing>
          <wp:anchor distT="0" distB="0" distL="114300" distR="114300" simplePos="0" relativeHeight="251673088" behindDoc="1" locked="0" layoutInCell="1" allowOverlap="1">
            <wp:simplePos x="0" y="0"/>
            <wp:positionH relativeFrom="column">
              <wp:posOffset>15240</wp:posOffset>
            </wp:positionH>
            <wp:positionV relativeFrom="paragraph">
              <wp:posOffset>20320</wp:posOffset>
            </wp:positionV>
            <wp:extent cx="5273675" cy="2647315"/>
            <wp:effectExtent l="19050" t="0" r="3175" b="0"/>
            <wp:wrapTight wrapText="bothSides">
              <wp:wrapPolygon edited="0">
                <wp:start x="-78" y="0"/>
                <wp:lineTo x="-78" y="21450"/>
                <wp:lineTo x="21613" y="21450"/>
                <wp:lineTo x="21613" y="0"/>
                <wp:lineTo x="-78" y="0"/>
              </wp:wrapPolygon>
            </wp:wrapTight>
            <wp:docPr id="9" name="Bild 2" descr="P:\LU_2011_ESPON_TerrEvi_100269\03_Project development\WorkinProgress_FactSheets\Factsheets_CBC_neu\TL_CBC3\Botnia-Atlant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Botnia-Atlantica 2.png"/>
                    <pic:cNvPicPr>
                      <a:picLocks noChangeAspect="1" noChangeArrowheads="1"/>
                    </pic:cNvPicPr>
                  </pic:nvPicPr>
                  <pic:blipFill>
                    <a:blip r:embed="rId18" cstate="print"/>
                    <a:srcRect/>
                    <a:stretch>
                      <a:fillRect/>
                    </a:stretch>
                  </pic:blipFill>
                  <pic:spPr bwMode="auto">
                    <a:xfrm>
                      <a:off x="0" y="0"/>
                      <a:ext cx="5273675" cy="2647315"/>
                    </a:xfrm>
                    <a:prstGeom prst="rect">
                      <a:avLst/>
                    </a:prstGeom>
                    <a:noFill/>
                    <a:ln w="9525">
                      <a:noFill/>
                      <a:miter lim="800000"/>
                      <a:headEnd/>
                      <a:tailEnd/>
                    </a:ln>
                  </pic:spPr>
                </pic:pic>
              </a:graphicData>
            </a:graphic>
          </wp:anchor>
        </w:drawing>
      </w:r>
      <w:r w:rsidR="003A3852">
        <w:t>In the CBC area, wind energy seems to have higher potential compared to the EU-27+4, all CBC areas together, Norway and Sweden. It is comparable with Finland. It should be added that the disparity of the level of wind energy potential within the CBC area is high.</w:t>
      </w:r>
    </w:p>
    <w:p w:rsidR="003A3852" w:rsidRDefault="003A3852" w:rsidP="003A3852">
      <w:r>
        <w:t xml:space="preserve">The ozone concentration in the CBC area is lower than in the CBC areas together and the EU27+4 levels. It is somewhat comparable to the Swedish level. The value in the area is higher than on the national level of Finland. The CBC area is as vulnerable to climate change as Sweden and Finland. The EU27+4 area, the CBC areas in total and the national level of Norway seems to have a higher values than the CBC area. </w:t>
      </w:r>
    </w:p>
    <w:p w:rsidR="003A3852" w:rsidRDefault="003A3852" w:rsidP="003A3852">
      <w:r>
        <w:t xml:space="preserve">There is no territorial impact of Directive11 on fossil fuel consumption (Map 2) to the CBC area, but it should be mentioned that there is no data available for Norway. </w:t>
      </w:r>
    </w:p>
    <w:p w:rsidR="003A3852" w:rsidRDefault="003A3852" w:rsidP="003A3852">
      <w:r>
        <w:t xml:space="preserve">Compared to an above-average level capacity in Norway, Finland and Sweden, the CBC area’s capacity to adapt to climate change is similar to the EU27+4. </w:t>
      </w:r>
      <w:r w:rsidR="00545AE5">
        <w:t>The Finnish Keski</w:t>
      </w:r>
      <w:r>
        <w:t xml:space="preserve"> stands out for its highly above-average capacity to adapt to climate change according to the Box-Plot1.</w:t>
      </w:r>
    </w:p>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AF3A28">
        <w:rPr>
          <w:b/>
        </w:rPr>
        <w:t>Botnia – Atlantica</w:t>
      </w:r>
    </w:p>
    <w:p w:rsidR="00D26713" w:rsidRDefault="00D26713" w:rsidP="00D26713">
      <w:pPr>
        <w:spacing w:after="0" w:line="240" w:lineRule="auto"/>
        <w:rPr>
          <w:noProof/>
          <w:lang w:eastAsia="en-GB"/>
        </w:rPr>
      </w:pPr>
    </w:p>
    <w:p w:rsidR="00D26713" w:rsidRDefault="00F65997" w:rsidP="00D26713">
      <w:pPr>
        <w:spacing w:after="0" w:line="240" w:lineRule="auto"/>
        <w:rPr>
          <w:noProof/>
          <w:lang w:eastAsia="en-GB"/>
        </w:rPr>
      </w:pPr>
      <w:r w:rsidRPr="00F65997">
        <w:rPr>
          <w:noProof/>
          <w:lang w:val="de-DE" w:eastAsia="de-DE"/>
        </w:rPr>
        <w:pict>
          <v:shape id="_x0000_s1030" style="position:absolute;left:0;text-align:left;margin-left:214.3pt;margin-top:12.2pt;width:84.95pt;height:110.3pt;z-index:251664896"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E2224C">
        <w:rPr>
          <w:noProof/>
          <w:lang w:val="nb-NO" w:eastAsia="nb-NO"/>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5A5FC4" w:rsidRDefault="006E618B" w:rsidP="005A5FC4">
      <w:pPr>
        <w:rPr>
          <w:b/>
        </w:rPr>
      </w:pPr>
      <w:r w:rsidRPr="00391F61">
        <w:rPr>
          <w:b/>
        </w:rPr>
        <w:t>BOX</w:t>
      </w:r>
      <w:r w:rsidR="0054220D" w:rsidRPr="00391F61">
        <w:rPr>
          <w:b/>
        </w:rPr>
        <w:t>-</w:t>
      </w:r>
      <w:r w:rsidRPr="00391F61">
        <w:rPr>
          <w:b/>
        </w:rPr>
        <w:t>PLOT</w:t>
      </w:r>
      <w:r w:rsidR="00016B50" w:rsidRPr="00391F61">
        <w:rPr>
          <w:b/>
        </w:rPr>
        <w:t xml:space="preserve"> 1 – </w:t>
      </w:r>
      <w:r w:rsidRPr="00391F61">
        <w:rPr>
          <w:b/>
        </w:rPr>
        <w:t>Combined adaptive capacity to climate change (ESPON CLIMATE project)</w:t>
      </w:r>
      <w:r w:rsidR="002371D8" w:rsidRPr="00391F61">
        <w:rPr>
          <w:b/>
        </w:rPr>
        <w:t xml:space="preserve"> for the CBC </w:t>
      </w:r>
      <w:r w:rsidR="00AF3A28">
        <w:rPr>
          <w:b/>
        </w:rPr>
        <w:t>Botnia – Atlantica</w:t>
      </w:r>
    </w:p>
    <w:p w:rsidR="00FE35C3" w:rsidRPr="00021CAB" w:rsidRDefault="00FE35C3" w:rsidP="00FE35C3">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391F61" w:rsidP="006E618B">
      <w:pPr>
        <w:spacing w:after="0" w:line="240" w:lineRule="auto"/>
        <w:rPr>
          <w:noProof/>
          <w:lang w:eastAsia="en-GB"/>
        </w:rPr>
      </w:pPr>
      <w:r w:rsidRPr="00391F61">
        <w:rPr>
          <w:noProof/>
          <w:lang w:val="nb-NO" w:eastAsia="nb-NO"/>
        </w:rPr>
        <w:drawing>
          <wp:inline distT="0" distB="0" distL="0" distR="0">
            <wp:extent cx="5278755" cy="4225542"/>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AD6766" w:rsidRPr="006F0BC4" w:rsidRDefault="00AD6766" w:rsidP="00AD6766">
      <w:pPr>
        <w:pStyle w:val="Overskrift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Overskrift3"/>
      </w:pPr>
      <w:r w:rsidRPr="001B36DC">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925F2E" w:rsidRDefault="00D334B0" w:rsidP="00D334B0">
      <w:pPr>
        <w:rPr>
          <w:noProof/>
          <w:lang w:eastAsia="en-GB"/>
        </w:rPr>
      </w:pPr>
      <w:r>
        <w:rPr>
          <w:noProof/>
          <w:lang w:val="nb-NO" w:eastAsia="nb-NO"/>
        </w:rPr>
        <w:drawing>
          <wp:anchor distT="0" distB="0" distL="114300" distR="114300" simplePos="0" relativeHeight="251674112" behindDoc="1" locked="0" layoutInCell="1" allowOverlap="1">
            <wp:simplePos x="0" y="0"/>
            <wp:positionH relativeFrom="column">
              <wp:posOffset>15240</wp:posOffset>
            </wp:positionH>
            <wp:positionV relativeFrom="paragraph">
              <wp:posOffset>13335</wp:posOffset>
            </wp:positionV>
            <wp:extent cx="5273675" cy="2338705"/>
            <wp:effectExtent l="19050" t="0" r="3175" b="0"/>
            <wp:wrapTight wrapText="bothSides">
              <wp:wrapPolygon edited="0">
                <wp:start x="-78" y="0"/>
                <wp:lineTo x="-78" y="21465"/>
                <wp:lineTo x="21613" y="21465"/>
                <wp:lineTo x="21613" y="0"/>
                <wp:lineTo x="-78" y="0"/>
              </wp:wrapPolygon>
            </wp:wrapTight>
            <wp:docPr id="10" name="Bild 3" descr="P:\LU_2011_ESPON_TerrEvi_100269\03_Project development\WorkinProgress_FactSheets\Factsheets_CBC_neu\TL_CBC3\Botnia-Atlantic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Botnia-Atlantica 3.png"/>
                    <pic:cNvPicPr>
                      <a:picLocks noChangeAspect="1" noChangeArrowheads="1"/>
                    </pic:cNvPicPr>
                  </pic:nvPicPr>
                  <pic:blipFill>
                    <a:blip r:embed="rId21" cstate="print"/>
                    <a:srcRect/>
                    <a:stretch>
                      <a:fillRect/>
                    </a:stretch>
                  </pic:blipFill>
                  <pic:spPr bwMode="auto">
                    <a:xfrm>
                      <a:off x="0" y="0"/>
                      <a:ext cx="5273675" cy="2338705"/>
                    </a:xfrm>
                    <a:prstGeom prst="rect">
                      <a:avLst/>
                    </a:prstGeom>
                    <a:noFill/>
                    <a:ln w="9525">
                      <a:noFill/>
                      <a:miter lim="800000"/>
                      <a:headEnd/>
                      <a:tailEnd/>
                    </a:ln>
                  </pic:spPr>
                </pic:pic>
              </a:graphicData>
            </a:graphic>
          </wp:anchor>
        </w:drawing>
      </w:r>
      <w:r w:rsidR="00925F2E">
        <w:rPr>
          <w:noProof/>
          <w:lang w:eastAsia="en-GB"/>
        </w:rPr>
        <w:t>The CBC area shows lower values of long-term unemployment than the EU27+4, all the CBC areas in total and Finland, but comparable to Sweden. It has however higher rates than the Norwegian national level. In respect to at-risk-of –poverty rate, the CBC area shows better results than the EU27+4, the CBC areas in total, and the national levels of Sweden and the Slovak Republic. The value is comaprable to the national level of Finland and higher than the national level of Norway.</w:t>
      </w:r>
    </w:p>
    <w:p w:rsidR="00925F2E" w:rsidRDefault="00925F2E" w:rsidP="001B36DC">
      <w:pPr>
        <w:spacing w:line="240" w:lineRule="auto"/>
        <w:jc w:val="left"/>
        <w:rPr>
          <w:noProof/>
          <w:lang w:eastAsia="en-GB"/>
        </w:rPr>
      </w:pPr>
      <w:r>
        <w:rPr>
          <w:noProof/>
          <w:lang w:eastAsia="en-GB"/>
        </w:rPr>
        <w:t>The same is true for the percentage of secondary or tertiary education attainment of persons aged 25-64 and 20-24, which is only equal to the CBC area compared to the Finnish national level.</w:t>
      </w:r>
    </w:p>
    <w:p w:rsidR="00925F2E" w:rsidRDefault="00925F2E" w:rsidP="00B135A2">
      <w:pPr>
        <w:rPr>
          <w:noProof/>
          <w:lang w:eastAsia="en-GB"/>
        </w:rPr>
      </w:pPr>
      <w:r>
        <w:rPr>
          <w:noProof/>
          <w:lang w:eastAsia="en-GB"/>
        </w:rPr>
        <w:t xml:space="preserve">For all the possible scenarios on the change in labour force until 2050 drawn in the ESPON DEMIFER project (Map 3), the situation is similar between all sides of the CBC area. The change in labour force witnesses negative effects on all sides for all the scenarios imagined. Only in the scenario of a “expanding market europe” positive effects can be imagined for all sides of the CBC area. </w:t>
      </w:r>
    </w:p>
    <w:p w:rsidR="00925F2E" w:rsidRDefault="00925F2E" w:rsidP="00B135A2">
      <w:r>
        <w:rPr>
          <w:noProof/>
          <w:lang w:eastAsia="en-GB"/>
        </w:rPr>
        <w:t xml:space="preserve">Box plot 2 shows that the employment rate in </w:t>
      </w:r>
      <w:r w:rsidR="00C32DB4">
        <w:rPr>
          <w:noProof/>
          <w:lang w:eastAsia="en-GB"/>
        </w:rPr>
        <w:t>Finland and Sweden is short below the average of the EU27+4 and all CBC programme areas together.</w:t>
      </w:r>
    </w:p>
    <w:p w:rsidR="00925F2E" w:rsidRDefault="00925F2E" w:rsidP="00B135A2"/>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t xml:space="preserve">MAP 3 – </w:t>
      </w:r>
      <w:r w:rsidR="00C04A1F" w:rsidRPr="00C33A99">
        <w:rPr>
          <w:b/>
        </w:rPr>
        <w:t>Change in Labour Force 2005-2050 (ESPON DEMIFER project)</w:t>
      </w:r>
      <w:r w:rsidR="002371D8">
        <w:rPr>
          <w:b/>
        </w:rPr>
        <w:t xml:space="preserve"> for the CBC </w:t>
      </w:r>
      <w:r w:rsidR="00AF3A28">
        <w:rPr>
          <w:b/>
        </w:rPr>
        <w:t>Botnia – Atlantica</w:t>
      </w:r>
    </w:p>
    <w:p w:rsidR="0089569C" w:rsidRDefault="0089569C" w:rsidP="0089569C">
      <w:pPr>
        <w:spacing w:after="0" w:line="240" w:lineRule="auto"/>
        <w:rPr>
          <w:noProof/>
          <w:lang w:eastAsia="en-GB"/>
        </w:rPr>
      </w:pPr>
    </w:p>
    <w:p w:rsidR="0089569C" w:rsidRDefault="00F65997" w:rsidP="0089569C">
      <w:pPr>
        <w:spacing w:after="0" w:line="240" w:lineRule="auto"/>
        <w:rPr>
          <w:noProof/>
          <w:lang w:eastAsia="en-GB"/>
        </w:rPr>
      </w:pPr>
      <w:r w:rsidRPr="00F65997">
        <w:rPr>
          <w:noProof/>
          <w:lang w:val="de-DE" w:eastAsia="de-DE"/>
        </w:rPr>
        <w:pict>
          <v:shape id="_x0000_s1034" style="position:absolute;left:0;text-align:left;margin-left:308.6pt;margin-top:221.2pt;width:40.2pt;height:52.2pt;z-index:251668992"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Pr="00F65997">
        <w:rPr>
          <w:noProof/>
          <w:lang w:val="de-DE" w:eastAsia="de-DE"/>
        </w:rPr>
        <w:pict>
          <v:shape id="_x0000_s1033" style="position:absolute;left:0;text-align:left;margin-left:109.9pt;margin-top:221.2pt;width:40.2pt;height:52.2pt;z-index:251667968"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Pr="00F65997">
        <w:rPr>
          <w:noProof/>
          <w:lang w:val="de-DE" w:eastAsia="de-DE"/>
        </w:rPr>
        <w:pict>
          <v:shape id="_x0000_s1032" style="position:absolute;left:0;text-align:left;margin-left:308.6pt;margin-top:16.65pt;width:40.2pt;height:52.2pt;z-index:251666944"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Pr="00F65997">
        <w:rPr>
          <w:noProof/>
          <w:lang w:val="de-DE" w:eastAsia="de-DE"/>
        </w:rPr>
        <w:pict>
          <v:shape id="_x0000_s1031" style="position:absolute;left:0;text-align:left;margin-left:110.75pt;margin-top:18pt;width:40.2pt;height:52.2pt;z-index:251665920"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85756F">
        <w:rPr>
          <w:noProof/>
          <w:lang w:val="nb-NO" w:eastAsia="nb-NO"/>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391F61">
        <w:rPr>
          <w:b/>
        </w:rPr>
        <w:t>BOX</w:t>
      </w:r>
      <w:r w:rsidR="0054220D" w:rsidRPr="00391F61">
        <w:rPr>
          <w:b/>
        </w:rPr>
        <w:t>-</w:t>
      </w:r>
      <w:r w:rsidRPr="00391F61">
        <w:rPr>
          <w:b/>
        </w:rPr>
        <w:t>PLOT</w:t>
      </w:r>
      <w:r w:rsidR="00016B50" w:rsidRPr="00391F61">
        <w:rPr>
          <w:b/>
        </w:rPr>
        <w:t xml:space="preserve"> 2</w:t>
      </w:r>
      <w:r w:rsidRPr="00391F61">
        <w:rPr>
          <w:b/>
        </w:rPr>
        <w:t xml:space="preserve"> – Employment rate 2010</w:t>
      </w:r>
      <w:r w:rsidR="002371D8" w:rsidRPr="00391F61">
        <w:rPr>
          <w:b/>
        </w:rPr>
        <w:t xml:space="preserve"> within the CBC </w:t>
      </w:r>
      <w:r w:rsidR="00AF3A28">
        <w:rPr>
          <w:b/>
        </w:rPr>
        <w:t>Botnia – Atlantica</w:t>
      </w:r>
    </w:p>
    <w:p w:rsidR="00FD4E3A" w:rsidRDefault="00391F61" w:rsidP="00FD4E3A">
      <w:pPr>
        <w:spacing w:after="0" w:line="240" w:lineRule="auto"/>
        <w:jc w:val="left"/>
        <w:rPr>
          <w:noProof/>
          <w:lang w:eastAsia="en-GB"/>
        </w:rPr>
      </w:pPr>
      <w:r w:rsidRPr="00391F61">
        <w:rPr>
          <w:noProof/>
          <w:lang w:val="nb-NO" w:eastAsia="nb-NO"/>
        </w:rPr>
        <w:drawing>
          <wp:inline distT="0" distB="0" distL="0" distR="0">
            <wp:extent cx="5278755" cy="4225542"/>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9A71B0">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1B36DC" w:rsidRDefault="005761A6" w:rsidP="005761A6">
      <w:pPr>
        <w:pStyle w:val="Overskrift1"/>
      </w:pPr>
      <w:r w:rsidRPr="001B36DC">
        <w:t xml:space="preserve">Territorial factors of interest for the programme area </w:t>
      </w:r>
    </w:p>
    <w:p w:rsidR="008F17D3" w:rsidRDefault="008F17D3" w:rsidP="008F17D3">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8F17D3" w:rsidRDefault="008F17D3" w:rsidP="008F17D3">
      <w:r>
        <w:t xml:space="preserve">In a European perspective the programme area is mainly characterised as rural, with some regions being close to a city and some being remote. Urban centres in the programme area are e.g. Bodø, Umeå and Vaasa. Otherwise, the programme area is largely characterised by small settlements and low population density. </w:t>
      </w:r>
    </w:p>
    <w:p w:rsidR="008F17D3" w:rsidRDefault="008F17D3" w:rsidP="008F17D3">
      <w:r>
        <w:t xml:space="preserve">Being in the periphery of Europe, the multimodal accessibility of the programme area is below European average. So is also the number of border crossings per 100 km border. This is directly linked to the settlement structure and the low urban potential which also implies that there is only limited potential for building cross-border functional areas. </w:t>
      </w:r>
    </w:p>
    <w:p w:rsidR="008F17D3" w:rsidRDefault="008F17D3" w:rsidP="008F17D3">
      <w:r>
        <w:t xml:space="preserve">The remote and rural character of the programme area comprises a wide range of development opportunities and challenges. In European perspective the area has varying geographical characteristics. There are a number of coastal regions, and the Norwegian and Swedish parts comprise mountainous regions and also a large number of sparsely populated areas – in a European perspective. </w:t>
      </w:r>
    </w:p>
    <w:p w:rsidR="008F17D3" w:rsidRDefault="008F17D3" w:rsidP="008F17D3">
      <w:r w:rsidRPr="0032010C">
        <w:t>ESPON GEOSPECS has developed a nexus model</w:t>
      </w:r>
      <w:r>
        <w:t>s</w:t>
      </w:r>
      <w:r w:rsidRPr="0032010C">
        <w:t xml:space="preserve"> for</w:t>
      </w:r>
      <w:r>
        <w:t xml:space="preserve"> </w:t>
      </w:r>
      <w:r w:rsidR="00CF524F">
        <w:t>coastal</w:t>
      </w:r>
      <w:r>
        <w:t xml:space="preserve"> regions (see figure),</w:t>
      </w:r>
      <w:r w:rsidRPr="0032010C">
        <w:t xml:space="preserve"> mountainous regions</w:t>
      </w:r>
      <w:r>
        <w:t xml:space="preserve"> and sparsely populated areas</w:t>
      </w:r>
      <w:r w:rsidRPr="0032010C">
        <w:t xml:space="preserve"> linking defining features via intermediary process to developme</w:t>
      </w:r>
      <w:r>
        <w:t>nt challenges and opportunities. The</w:t>
      </w:r>
      <w:r w:rsidRPr="0032010C">
        <w:t>s</w:t>
      </w:r>
      <w:r>
        <w:t>e</w:t>
      </w:r>
      <w:r w:rsidRPr="0032010C">
        <w:t xml:space="preserve"> model</w:t>
      </w:r>
      <w:r>
        <w:t>s</w:t>
      </w:r>
      <w:r w:rsidRPr="0032010C">
        <w:t xml:space="preserve"> can be of interest for further developing the discussion about the challenges and opportunities in the programme area. </w:t>
      </w:r>
    </w:p>
    <w:p w:rsidR="008F17D3" w:rsidRDefault="008F17D3" w:rsidP="008F17D3">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103:</w:t>
      </w:r>
      <w:r>
        <w:rPr>
          <w:rFonts w:cs="Calibri"/>
          <w:sz w:val="18"/>
          <w:szCs w:val="20"/>
          <w:lang w:eastAsia="fr-FR"/>
        </w:rPr>
        <w:br/>
        <w:t>Nexus model for coastal areas</w:t>
      </w:r>
    </w:p>
    <w:p w:rsidR="008F17D3" w:rsidRDefault="008F17D3" w:rsidP="008F17D3">
      <w:pPr>
        <w:shd w:val="clear" w:color="auto" w:fill="F2F2F2" w:themeFill="background1" w:themeFillShade="F2"/>
        <w:spacing w:after="0" w:line="240" w:lineRule="auto"/>
        <w:jc w:val="center"/>
        <w:rPr>
          <w:rFonts w:cs="Calibri"/>
          <w:sz w:val="18"/>
          <w:szCs w:val="20"/>
          <w:lang w:eastAsia="fr-FR"/>
        </w:rPr>
      </w:pPr>
      <w:r>
        <w:rPr>
          <w:noProof/>
          <w:lang w:val="nb-NO" w:eastAsia="nb-NO"/>
        </w:rPr>
        <w:drawing>
          <wp:inline distT="0" distB="0" distL="0" distR="0">
            <wp:extent cx="5278755" cy="3053055"/>
            <wp:effectExtent l="2540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8F17D3" w:rsidRPr="00AC0338" w:rsidRDefault="008F17D3" w:rsidP="008F17D3">
      <w:pPr>
        <w:shd w:val="clear" w:color="auto" w:fill="F2F2F2" w:themeFill="background1" w:themeFillShade="F2"/>
        <w:spacing w:after="0" w:line="240" w:lineRule="auto"/>
        <w:jc w:val="center"/>
        <w:rPr>
          <w:rFonts w:cs="Calibri"/>
          <w:sz w:val="18"/>
          <w:szCs w:val="20"/>
          <w:lang w:eastAsia="fr-FR"/>
        </w:rPr>
      </w:pPr>
    </w:p>
    <w:p w:rsidR="008F17D3" w:rsidRPr="005A5FC4" w:rsidRDefault="008F17D3" w:rsidP="008F17D3"/>
    <w:p w:rsidR="005A5FC4" w:rsidRDefault="005A5FC4" w:rsidP="005A5FC4"/>
    <w:p w:rsidR="001B36DC" w:rsidRPr="005A5FC4" w:rsidRDefault="001B36DC" w:rsidP="005A5FC4"/>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AF3A28">
        <w:rPr>
          <w:b/>
        </w:rPr>
        <w:t>Botnia – Atlantica</w:t>
      </w:r>
    </w:p>
    <w:p w:rsidR="0089569C" w:rsidRDefault="0089569C" w:rsidP="0089569C">
      <w:pPr>
        <w:spacing w:after="0" w:line="240" w:lineRule="auto"/>
        <w:jc w:val="left"/>
        <w:rPr>
          <w:noProof/>
          <w:lang w:eastAsia="en-GB"/>
        </w:rPr>
      </w:pPr>
    </w:p>
    <w:p w:rsidR="0089569C" w:rsidRDefault="00F65997" w:rsidP="0089569C">
      <w:pPr>
        <w:spacing w:after="0" w:line="240" w:lineRule="auto"/>
        <w:jc w:val="left"/>
        <w:rPr>
          <w:noProof/>
          <w:lang w:eastAsia="en-GB"/>
        </w:rPr>
      </w:pPr>
      <w:r w:rsidRPr="00F65997">
        <w:rPr>
          <w:noProof/>
          <w:lang w:val="de-DE" w:eastAsia="de-DE"/>
        </w:rPr>
        <w:pict>
          <v:shape id="_x0000_s1035" style="position:absolute;margin-left:185.2pt;margin-top:26.8pt;width:71.5pt;height:94.95pt;z-index:251670016"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BD1E14">
        <w:rPr>
          <w:noProof/>
          <w:lang w:val="nb-NO" w:eastAsia="nb-NO"/>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1234C2" w:rsidRPr="0085195F" w:rsidRDefault="001234C2" w:rsidP="001234C2">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AF3A28">
        <w:rPr>
          <w:b/>
        </w:rPr>
        <w:t>Botnia – Atlantica</w:t>
      </w:r>
    </w:p>
    <w:p w:rsidR="003D57E2" w:rsidRPr="00021CAB" w:rsidRDefault="003D57E2" w:rsidP="003D57E2">
      <w:pPr>
        <w:spacing w:after="240"/>
        <w:rPr>
          <w:i/>
        </w:rPr>
      </w:pPr>
      <w:r w:rsidRPr="00021CAB">
        <w:rPr>
          <w:i/>
        </w:rPr>
        <w:t>“Potential Accessibility Multimodal” scores accessibility of NUTS 3 regions by road, rail and air relative to the European average in an Accessibility Index.</w:t>
      </w:r>
    </w:p>
    <w:p w:rsidR="0089569C" w:rsidRDefault="00F65997" w:rsidP="0089569C">
      <w:pPr>
        <w:spacing w:after="0" w:line="240" w:lineRule="auto"/>
        <w:jc w:val="left"/>
        <w:rPr>
          <w:noProof/>
          <w:lang w:eastAsia="en-GB"/>
        </w:rPr>
      </w:pPr>
      <w:r w:rsidRPr="00F65997">
        <w:rPr>
          <w:noProof/>
          <w:lang w:val="de-DE" w:eastAsia="de-DE"/>
        </w:rPr>
        <w:pict>
          <v:shape id="_x0000_s1036" style="position:absolute;margin-left:182.05pt;margin-top:21.65pt;width:79.1pt;height:102.65pt;z-index:251671040"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85756F">
        <w:rPr>
          <w:noProof/>
          <w:lang w:val="nb-NO" w:eastAsia="nb-NO"/>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1B36DC" w:rsidRDefault="005A5FC4" w:rsidP="0019394E">
      <w:pPr>
        <w:pStyle w:val="Overskrift1"/>
      </w:pPr>
      <w:r w:rsidRPr="001B36DC">
        <w:t>Recommended ESPON reading</w:t>
      </w:r>
    </w:p>
    <w:p w:rsidR="001B36DC" w:rsidRDefault="001B36DC" w:rsidP="001B36DC">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1B36DC" w:rsidRDefault="001B36DC" w:rsidP="001B36DC">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1B36DC" w:rsidRPr="00A0472D" w:rsidTr="00BC3B2A">
        <w:trPr>
          <w:trHeight w:val="203"/>
        </w:trPr>
        <w:tc>
          <w:tcPr>
            <w:tcW w:w="1276" w:type="dxa"/>
            <w:shd w:val="clear" w:color="auto" w:fill="auto"/>
          </w:tcPr>
          <w:p w:rsidR="001B36DC" w:rsidRPr="00A0472D" w:rsidRDefault="001B36DC" w:rsidP="00BC3B2A">
            <w:pPr>
              <w:spacing w:after="0" w:line="20" w:lineRule="atLeast"/>
              <w:rPr>
                <w:b/>
                <w:sz w:val="18"/>
                <w:szCs w:val="18"/>
              </w:rPr>
            </w:pPr>
            <w:r w:rsidRPr="00A0472D">
              <w:rPr>
                <w:b/>
                <w:sz w:val="18"/>
                <w:szCs w:val="18"/>
              </w:rPr>
              <w:t>ESPON study</w:t>
            </w:r>
          </w:p>
        </w:tc>
        <w:tc>
          <w:tcPr>
            <w:tcW w:w="1418" w:type="dxa"/>
            <w:shd w:val="clear" w:color="auto" w:fill="auto"/>
          </w:tcPr>
          <w:p w:rsidR="001B36DC" w:rsidRPr="00A0472D" w:rsidRDefault="001B36DC" w:rsidP="00BC3B2A">
            <w:pPr>
              <w:spacing w:after="0" w:line="20" w:lineRule="atLeast"/>
              <w:rPr>
                <w:b/>
                <w:sz w:val="18"/>
                <w:szCs w:val="18"/>
              </w:rPr>
            </w:pPr>
            <w:r w:rsidRPr="00A0472D">
              <w:rPr>
                <w:b/>
                <w:sz w:val="18"/>
                <w:szCs w:val="18"/>
              </w:rPr>
              <w:t>Topic</w:t>
            </w:r>
          </w:p>
        </w:tc>
        <w:tc>
          <w:tcPr>
            <w:tcW w:w="5670" w:type="dxa"/>
            <w:shd w:val="clear" w:color="auto" w:fill="auto"/>
          </w:tcPr>
          <w:p w:rsidR="001B36DC" w:rsidRPr="00A0472D" w:rsidRDefault="001B36DC" w:rsidP="00BC3B2A">
            <w:pPr>
              <w:spacing w:after="0" w:line="20" w:lineRule="atLeast"/>
              <w:rPr>
                <w:b/>
                <w:sz w:val="18"/>
                <w:szCs w:val="18"/>
              </w:rPr>
            </w:pPr>
            <w:r w:rsidRPr="00A0472D">
              <w:rPr>
                <w:b/>
                <w:sz w:val="18"/>
                <w:szCs w:val="18"/>
              </w:rPr>
              <w:t>Content</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1B36DC" w:rsidRPr="00A0472D" w:rsidRDefault="001B36DC" w:rsidP="00BC3B2A">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1B36DC" w:rsidRPr="00AD3BFE" w:rsidRDefault="001B36DC" w:rsidP="00BC3B2A">
            <w:pPr>
              <w:spacing w:after="0" w:line="20" w:lineRule="atLeast"/>
              <w:rPr>
                <w:rFonts w:cs="Calibri"/>
                <w:sz w:val="18"/>
                <w:szCs w:val="20"/>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r>
              <w:rPr>
                <w:rFonts w:cs="Calibri"/>
                <w:sz w:val="18"/>
                <w:szCs w:val="18"/>
                <w:lang w:eastAsia="fr-FR"/>
              </w:rPr>
              <w:t xml:space="preserve">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1B36DC" w:rsidRPr="00A0472D" w:rsidTr="00BC3B2A">
        <w:trPr>
          <w:trHeight w:val="274"/>
        </w:trPr>
        <w:tc>
          <w:tcPr>
            <w:tcW w:w="1276" w:type="dxa"/>
            <w:tcBorders>
              <w:bottom w:val="single" w:sz="4" w:space="0" w:color="auto"/>
            </w:tcBorders>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 xml:space="preserve">It </w:t>
            </w:r>
            <w:r>
              <w:rPr>
                <w:sz w:val="18"/>
                <w:szCs w:val="18"/>
              </w:rPr>
              <w:t xml:space="preserve">describes </w:t>
            </w:r>
            <w:r w:rsidRPr="00A0472D">
              <w:rPr>
                <w:sz w:val="18"/>
                <w:szCs w:val="18"/>
              </w:rPr>
              <w:t>selective migration in rural regions</w:t>
            </w:r>
            <w:r>
              <w:rPr>
                <w:sz w:val="18"/>
                <w:szCs w:val="18"/>
              </w:rPr>
              <w:t xml:space="preserve"> (see map 1, 4 and 5) and </w:t>
            </w:r>
            <w:r w:rsidRPr="00BD60CA">
              <w:rPr>
                <w:sz w:val="18"/>
                <w:szCs w:val="18"/>
              </w:rPr>
              <w:t>Västernorrland</w:t>
            </w:r>
            <w:r>
              <w:rPr>
                <w:sz w:val="18"/>
                <w:szCs w:val="18"/>
              </w:rPr>
              <w:t xml:space="preserve"> as a case study (Annex 2B).</w:t>
            </w:r>
          </w:p>
        </w:tc>
      </w:tr>
      <w:tr w:rsidR="001B36DC" w:rsidRPr="00A0472D" w:rsidTr="00BC3B2A">
        <w:trPr>
          <w:trHeight w:val="274"/>
        </w:trPr>
        <w:tc>
          <w:tcPr>
            <w:tcW w:w="1276" w:type="dxa"/>
            <w:shd w:val="clear" w:color="auto" w:fill="FFFFFF" w:themeFill="background1"/>
          </w:tcPr>
          <w:p w:rsidR="001B36DC" w:rsidRPr="008152C4" w:rsidRDefault="001B36DC" w:rsidP="00BC3B2A">
            <w:pPr>
              <w:spacing w:after="0" w:line="20" w:lineRule="atLeast"/>
              <w:rPr>
                <w:sz w:val="18"/>
                <w:szCs w:val="18"/>
              </w:rPr>
            </w:pPr>
            <w:r>
              <w:rPr>
                <w:sz w:val="18"/>
                <w:szCs w:val="18"/>
              </w:rPr>
              <w:t>KIT</w:t>
            </w:r>
          </w:p>
        </w:tc>
        <w:tc>
          <w:tcPr>
            <w:tcW w:w="1418" w:type="dxa"/>
            <w:shd w:val="clear" w:color="auto" w:fill="FFFFFF" w:themeFill="background1"/>
          </w:tcPr>
          <w:p w:rsidR="001B36DC" w:rsidRPr="008152C4" w:rsidRDefault="001B36DC" w:rsidP="00BC3B2A">
            <w:pPr>
              <w:spacing w:after="0" w:line="20" w:lineRule="atLeast"/>
              <w:rPr>
                <w:sz w:val="18"/>
                <w:szCs w:val="18"/>
              </w:rPr>
            </w:pPr>
            <w:r w:rsidRPr="008152C4">
              <w:rPr>
                <w:sz w:val="18"/>
                <w:szCs w:val="18"/>
              </w:rPr>
              <w:t>Innovation</w:t>
            </w:r>
          </w:p>
        </w:tc>
        <w:tc>
          <w:tcPr>
            <w:tcW w:w="5670" w:type="dxa"/>
            <w:shd w:val="clear" w:color="auto" w:fill="FFFFFF" w:themeFill="background1"/>
          </w:tcPr>
          <w:p w:rsidR="001B36DC" w:rsidRPr="008152C4" w:rsidRDefault="001B36DC" w:rsidP="00BC3B2A">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knowledge and innovation and potentials of regions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rPr>
                <w:sz w:val="18"/>
                <w:szCs w:val="18"/>
              </w:rPr>
            </w:pPr>
            <w:r w:rsidRPr="008152C4">
              <w:rPr>
                <w:sz w:val="18"/>
                <w:szCs w:val="18"/>
              </w:rPr>
              <w:t>SGPTD</w:t>
            </w:r>
          </w:p>
        </w:tc>
        <w:tc>
          <w:tcPr>
            <w:tcW w:w="1418" w:type="dxa"/>
            <w:shd w:val="clear" w:color="auto" w:fill="FFFFFF" w:themeFill="background1"/>
          </w:tcPr>
          <w:p w:rsidR="001B36DC" w:rsidRPr="00A0472D" w:rsidRDefault="001B36DC" w:rsidP="00BC3B2A">
            <w:pPr>
              <w:spacing w:after="0" w:line="20" w:lineRule="atLeast"/>
              <w:rPr>
                <w:sz w:val="18"/>
                <w:szCs w:val="18"/>
              </w:rPr>
            </w:pPr>
            <w:r w:rsidRPr="008152C4">
              <w:rPr>
                <w:sz w:val="18"/>
                <w:szCs w:val="18"/>
              </w:rPr>
              <w:t>Growth poles</w:t>
            </w:r>
          </w:p>
        </w:tc>
        <w:tc>
          <w:tcPr>
            <w:tcW w:w="5670" w:type="dxa"/>
            <w:shd w:val="clear" w:color="auto" w:fill="FFFFFF" w:themeFill="background1"/>
          </w:tcPr>
          <w:p w:rsidR="001B36DC" w:rsidRPr="00A0472D" w:rsidRDefault="001B36DC" w:rsidP="00BC3B2A">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1B36DC" w:rsidRPr="00AD3BFE" w:rsidTr="00BC3B2A">
        <w:trPr>
          <w:trHeight w:val="274"/>
        </w:trPr>
        <w:tc>
          <w:tcPr>
            <w:tcW w:w="1276" w:type="dxa"/>
            <w:shd w:val="clear" w:color="auto" w:fill="FFFFFF" w:themeFill="background1"/>
          </w:tcPr>
          <w:p w:rsidR="001B36DC" w:rsidRPr="009D2E8A" w:rsidRDefault="001B36DC" w:rsidP="00BC3B2A">
            <w:pPr>
              <w:spacing w:after="0" w:line="20" w:lineRule="atLeast"/>
              <w:rPr>
                <w:sz w:val="18"/>
                <w:szCs w:val="18"/>
              </w:rPr>
            </w:pPr>
            <w:r w:rsidRPr="007A064B">
              <w:rPr>
                <w:sz w:val="18"/>
                <w:szCs w:val="18"/>
              </w:rPr>
              <w:t>GEOSPECS</w:t>
            </w:r>
          </w:p>
        </w:tc>
        <w:tc>
          <w:tcPr>
            <w:tcW w:w="1418" w:type="dxa"/>
            <w:shd w:val="clear" w:color="auto" w:fill="FFFFFF" w:themeFill="background1"/>
          </w:tcPr>
          <w:p w:rsidR="001B36DC" w:rsidRPr="009D2E8A" w:rsidRDefault="001B36DC" w:rsidP="00BC3B2A">
            <w:pPr>
              <w:spacing w:after="0" w:line="20" w:lineRule="atLeast"/>
              <w:rPr>
                <w:sz w:val="18"/>
                <w:szCs w:val="18"/>
              </w:rPr>
            </w:pPr>
            <w:r w:rsidRPr="007A064B">
              <w:rPr>
                <w:sz w:val="18"/>
                <w:szCs w:val="18"/>
              </w:rPr>
              <w:t>Specific types of territories</w:t>
            </w:r>
          </w:p>
        </w:tc>
        <w:tc>
          <w:tcPr>
            <w:tcW w:w="5670" w:type="dxa"/>
            <w:shd w:val="clear" w:color="auto" w:fill="FFFFFF" w:themeFill="background1"/>
          </w:tcPr>
          <w:p w:rsidR="001B36DC" w:rsidRPr="00791EE1" w:rsidRDefault="001B36DC" w:rsidP="00BC3B2A">
            <w:pPr>
              <w:autoSpaceDE w:val="0"/>
              <w:autoSpaceDN w:val="0"/>
              <w:adjustRightInd w:val="0"/>
              <w:snapToGrid w:val="0"/>
              <w:spacing w:after="0" w:line="240" w:lineRule="auto"/>
              <w:rPr>
                <w:rFonts w:cs="Calibri"/>
                <w:sz w:val="18"/>
                <w:szCs w:val="20"/>
                <w:lang w:eastAsia="fr-FR"/>
              </w:rPr>
            </w:pPr>
            <w:r w:rsidRPr="007A064B">
              <w:rPr>
                <w:rFonts w:cs="Calibri"/>
                <w:sz w:val="18"/>
                <w:szCs w:val="20"/>
                <w:lang w:eastAsia="fr-FR"/>
              </w:rPr>
              <w:t xml:space="preserve">It </w:t>
            </w:r>
            <w:r>
              <w:rPr>
                <w:rFonts w:cs="Calibri"/>
                <w:sz w:val="18"/>
                <w:szCs w:val="20"/>
                <w:lang w:eastAsia="fr-FR"/>
              </w:rPr>
              <w:t>analyses</w:t>
            </w:r>
            <w:r w:rsidRPr="007A064B">
              <w:rPr>
                <w:rFonts w:cs="Calibri"/>
                <w:sz w:val="18"/>
                <w:szCs w:val="20"/>
                <w:lang w:eastAsia="fr-FR"/>
              </w:rPr>
              <w:t xml:space="preserve"> specific types of territories and </w:t>
            </w:r>
            <w:r>
              <w:rPr>
                <w:rFonts w:cs="Calibri"/>
                <w:sz w:val="18"/>
                <w:szCs w:val="20"/>
                <w:lang w:eastAsia="fr-FR"/>
              </w:rPr>
              <w:t xml:space="preserve">the </w:t>
            </w:r>
            <w:r w:rsidRPr="00625A57">
              <w:rPr>
                <w:rFonts w:cs="Calibri"/>
                <w:sz w:val="18"/>
                <w:szCs w:val="20"/>
                <w:lang w:eastAsia="fr-FR"/>
              </w:rPr>
              <w:t>Torne Valley</w:t>
            </w:r>
            <w:r>
              <w:rPr>
                <w:rFonts w:cs="Calibri"/>
                <w:sz w:val="18"/>
                <w:szCs w:val="20"/>
                <w:lang w:eastAsia="fr-FR"/>
              </w:rPr>
              <w:t xml:space="preserve">, on the border between Sweden and Finland (see Annex 28). </w:t>
            </w:r>
          </w:p>
        </w:tc>
      </w:tr>
      <w:tr w:rsidR="001B36DC" w:rsidRPr="00AD3BFE" w:rsidTr="00BC3B2A">
        <w:trPr>
          <w:trHeight w:val="274"/>
        </w:trPr>
        <w:tc>
          <w:tcPr>
            <w:tcW w:w="1276" w:type="dxa"/>
            <w:shd w:val="clear" w:color="auto" w:fill="FFFFFF" w:themeFill="background1"/>
          </w:tcPr>
          <w:p w:rsidR="001B36DC" w:rsidRPr="00B9565F" w:rsidRDefault="001B36DC" w:rsidP="00BC3B2A">
            <w:pPr>
              <w:spacing w:after="0" w:line="20" w:lineRule="atLeast"/>
              <w:rPr>
                <w:sz w:val="18"/>
                <w:szCs w:val="18"/>
                <w:lang w:val="it-IT"/>
              </w:rPr>
            </w:pPr>
            <w:r w:rsidRPr="00B9565F">
              <w:rPr>
                <w:sz w:val="18"/>
                <w:szCs w:val="18"/>
                <w:lang w:val="it-IT"/>
              </w:rPr>
              <w:t>TeDi</w:t>
            </w:r>
          </w:p>
        </w:tc>
        <w:tc>
          <w:tcPr>
            <w:tcW w:w="1418" w:type="dxa"/>
            <w:shd w:val="clear" w:color="auto" w:fill="FFFFFF" w:themeFill="background1"/>
          </w:tcPr>
          <w:p w:rsidR="001B36DC" w:rsidRPr="00B9565F" w:rsidRDefault="001B36DC" w:rsidP="00BC3B2A">
            <w:pPr>
              <w:spacing w:after="0" w:line="20" w:lineRule="atLeast"/>
              <w:rPr>
                <w:sz w:val="18"/>
                <w:szCs w:val="18"/>
                <w:lang w:val="it-IT"/>
              </w:rPr>
            </w:pPr>
            <w:r w:rsidRPr="00B9565F">
              <w:rPr>
                <w:sz w:val="18"/>
                <w:szCs w:val="18"/>
                <w:lang w:val="it-IT"/>
              </w:rPr>
              <w:t>Territorial diversity</w:t>
            </w:r>
          </w:p>
        </w:tc>
        <w:tc>
          <w:tcPr>
            <w:tcW w:w="5670" w:type="dxa"/>
            <w:shd w:val="clear" w:color="auto" w:fill="FFFFFF" w:themeFill="background1"/>
          </w:tcPr>
          <w:p w:rsidR="001B36DC" w:rsidRPr="009636BE" w:rsidRDefault="001B36DC" w:rsidP="00BC3B2A">
            <w:pPr>
              <w:spacing w:after="0" w:line="20" w:lineRule="atLeast"/>
              <w:rPr>
                <w:rFonts w:cs="Calibri"/>
                <w:sz w:val="18"/>
                <w:szCs w:val="18"/>
                <w:lang w:eastAsia="fr-FR"/>
              </w:rPr>
            </w:pPr>
            <w:r w:rsidRPr="00B9565F">
              <w:rPr>
                <w:rFonts w:cs="Calibri"/>
                <w:sz w:val="18"/>
                <w:szCs w:val="20"/>
                <w:lang w:eastAsia="fr-FR"/>
              </w:rPr>
              <w:t>It provides</w:t>
            </w:r>
            <w:r>
              <w:rPr>
                <w:rFonts w:cs="Calibri"/>
                <w:sz w:val="18"/>
                <w:szCs w:val="20"/>
                <w:lang w:eastAsia="fr-FR"/>
              </w:rPr>
              <w:t xml:space="preserve"> evidence on territorial</w:t>
            </w:r>
            <w:r w:rsidRPr="00B9565F">
              <w:rPr>
                <w:rFonts w:cs="Calibri"/>
                <w:sz w:val="18"/>
                <w:szCs w:val="20"/>
                <w:lang w:eastAsia="fr-FR"/>
              </w:rPr>
              <w:t xml:space="preserve"> development processes. </w:t>
            </w:r>
            <w:r>
              <w:rPr>
                <w:rFonts w:cs="Calibri"/>
                <w:sz w:val="18"/>
                <w:szCs w:val="20"/>
                <w:lang w:eastAsia="fr-FR"/>
              </w:rPr>
              <w:t xml:space="preserve">A case study of North Calotte area (see map 3 and figure 2).  </w:t>
            </w:r>
          </w:p>
        </w:tc>
      </w:tr>
      <w:tr w:rsidR="001B36DC" w:rsidRPr="00AD3BFE" w:rsidTr="00BC3B2A">
        <w:trPr>
          <w:trHeight w:val="274"/>
        </w:trPr>
        <w:tc>
          <w:tcPr>
            <w:tcW w:w="1276" w:type="dxa"/>
            <w:shd w:val="clear" w:color="auto" w:fill="FFFFFF" w:themeFill="background1"/>
          </w:tcPr>
          <w:p w:rsidR="001B36DC" w:rsidRPr="00893E35" w:rsidRDefault="001B36DC" w:rsidP="00BC3B2A">
            <w:pPr>
              <w:spacing w:after="0" w:line="20" w:lineRule="atLeast"/>
              <w:rPr>
                <w:sz w:val="18"/>
                <w:szCs w:val="18"/>
              </w:rPr>
            </w:pPr>
            <w:r w:rsidRPr="00893E35">
              <w:rPr>
                <w:sz w:val="18"/>
                <w:szCs w:val="18"/>
              </w:rPr>
              <w:t>RISE</w:t>
            </w:r>
          </w:p>
        </w:tc>
        <w:tc>
          <w:tcPr>
            <w:tcW w:w="1418" w:type="dxa"/>
            <w:shd w:val="clear" w:color="auto" w:fill="FFFFFF" w:themeFill="background1"/>
          </w:tcPr>
          <w:p w:rsidR="001B36DC" w:rsidRPr="00893E35" w:rsidRDefault="001B36DC" w:rsidP="00BC3B2A">
            <w:pPr>
              <w:spacing w:after="0" w:line="20" w:lineRule="atLeast"/>
              <w:rPr>
                <w:sz w:val="18"/>
                <w:szCs w:val="18"/>
              </w:rPr>
            </w:pPr>
            <w:r w:rsidRPr="00893E35">
              <w:rPr>
                <w:sz w:val="18"/>
                <w:szCs w:val="18"/>
              </w:rPr>
              <w:t>Integrated strategies</w:t>
            </w:r>
          </w:p>
        </w:tc>
        <w:tc>
          <w:tcPr>
            <w:tcW w:w="5670" w:type="dxa"/>
            <w:shd w:val="clear" w:color="auto" w:fill="FFFFFF" w:themeFill="background1"/>
          </w:tcPr>
          <w:p w:rsidR="001B36DC" w:rsidRPr="00335A84" w:rsidRDefault="001B36DC" w:rsidP="00BC3B2A">
            <w:pPr>
              <w:autoSpaceDE w:val="0"/>
              <w:autoSpaceDN w:val="0"/>
              <w:adjustRightInd w:val="0"/>
              <w:snapToGrid w:val="0"/>
              <w:spacing w:after="0" w:line="240" w:lineRule="auto"/>
              <w:rPr>
                <w:rFonts w:cs="Calibri"/>
                <w:sz w:val="18"/>
                <w:szCs w:val="20"/>
                <w:lang w:eastAsia="fr-FR"/>
              </w:rPr>
            </w:pPr>
            <w:r>
              <w:rPr>
                <w:rFonts w:cs="Calibri"/>
                <w:sz w:val="18"/>
                <w:szCs w:val="20"/>
                <w:lang w:eastAsia="fr-FR"/>
              </w:rPr>
              <w:t xml:space="preserve">It describes </w:t>
            </w:r>
            <w:r w:rsidRPr="00893E35">
              <w:rPr>
                <w:rFonts w:cs="Calibri"/>
                <w:sz w:val="18"/>
                <w:szCs w:val="20"/>
                <w:lang w:eastAsia="fr-FR"/>
              </w:rPr>
              <w:t xml:space="preserve">the Regional Integrated Strategies </w:t>
            </w:r>
            <w:r>
              <w:rPr>
                <w:rFonts w:cs="Calibri"/>
                <w:sz w:val="18"/>
                <w:szCs w:val="20"/>
                <w:lang w:eastAsia="fr-FR"/>
              </w:rPr>
              <w:t xml:space="preserve">in particular for the Swedish NUTS 3 region of </w:t>
            </w:r>
            <w:r w:rsidRPr="00327EE2">
              <w:rPr>
                <w:sz w:val="18"/>
                <w:szCs w:val="20"/>
                <w:lang w:eastAsia="fr-FR"/>
              </w:rPr>
              <w:t>Västerbottens</w:t>
            </w:r>
            <w:r>
              <w:rPr>
                <w:szCs w:val="20"/>
                <w:lang w:eastAsia="fr-FR"/>
              </w:rPr>
              <w:t xml:space="preserve">. </w:t>
            </w:r>
          </w:p>
        </w:tc>
      </w:tr>
      <w:tr w:rsidR="001B36DC" w:rsidRPr="00AD3BFE" w:rsidTr="00BC3B2A">
        <w:trPr>
          <w:trHeight w:val="274"/>
        </w:trPr>
        <w:tc>
          <w:tcPr>
            <w:tcW w:w="1276" w:type="dxa"/>
            <w:shd w:val="clear" w:color="auto" w:fill="FFFFFF" w:themeFill="background1"/>
          </w:tcPr>
          <w:p w:rsidR="001B36DC" w:rsidRPr="00A532E4" w:rsidRDefault="001B36DC" w:rsidP="00BC3B2A">
            <w:pPr>
              <w:spacing w:after="0" w:line="20" w:lineRule="atLeast"/>
              <w:rPr>
                <w:sz w:val="18"/>
                <w:szCs w:val="18"/>
              </w:rPr>
            </w:pPr>
            <w:r w:rsidRPr="00302288">
              <w:rPr>
                <w:sz w:val="18"/>
                <w:szCs w:val="18"/>
              </w:rPr>
              <w:t>TRACC</w:t>
            </w:r>
          </w:p>
        </w:tc>
        <w:tc>
          <w:tcPr>
            <w:tcW w:w="1418" w:type="dxa"/>
            <w:shd w:val="clear" w:color="auto" w:fill="FFFFFF" w:themeFill="background1"/>
          </w:tcPr>
          <w:p w:rsidR="001B36DC" w:rsidRPr="00A532E4" w:rsidRDefault="001B36DC" w:rsidP="00BC3B2A">
            <w:pPr>
              <w:spacing w:after="0" w:line="20" w:lineRule="atLeast"/>
              <w:rPr>
                <w:sz w:val="18"/>
                <w:szCs w:val="18"/>
              </w:rPr>
            </w:pPr>
            <w:r w:rsidRPr="00302288">
              <w:rPr>
                <w:sz w:val="18"/>
                <w:szCs w:val="18"/>
              </w:rPr>
              <w:t>Transport accessibility</w:t>
            </w:r>
          </w:p>
        </w:tc>
        <w:tc>
          <w:tcPr>
            <w:tcW w:w="5670" w:type="dxa"/>
            <w:shd w:val="clear" w:color="auto" w:fill="FFFFFF" w:themeFill="background1"/>
          </w:tcPr>
          <w:p w:rsidR="001B36DC" w:rsidRPr="0033165A" w:rsidRDefault="001B36DC" w:rsidP="00BC3B2A">
            <w:pPr>
              <w:autoSpaceDE w:val="0"/>
              <w:autoSpaceDN w:val="0"/>
              <w:adjustRightInd w:val="0"/>
              <w:snapToGrid w:val="0"/>
              <w:spacing w:after="0" w:line="240" w:lineRule="auto"/>
              <w:rPr>
                <w:rFonts w:cs="Calibri"/>
                <w:sz w:val="18"/>
                <w:szCs w:val="20"/>
                <w:lang w:eastAsia="fr-FR"/>
              </w:rPr>
            </w:pPr>
            <w:r w:rsidRPr="0033165A">
              <w:rPr>
                <w:rFonts w:cs="Calibri"/>
                <w:sz w:val="18"/>
                <w:szCs w:val="20"/>
                <w:lang w:eastAsia="fr-FR"/>
              </w:rPr>
              <w:t xml:space="preserve">It </w:t>
            </w:r>
            <w:r>
              <w:rPr>
                <w:rFonts w:cs="Calibri"/>
                <w:sz w:val="18"/>
                <w:szCs w:val="20"/>
                <w:lang w:eastAsia="fr-FR"/>
              </w:rPr>
              <w:t xml:space="preserve">provides evidence </w:t>
            </w:r>
            <w:r w:rsidRPr="0033165A">
              <w:rPr>
                <w:rFonts w:cs="Calibri"/>
                <w:sz w:val="18"/>
                <w:szCs w:val="20"/>
                <w:lang w:eastAsia="fr-FR"/>
              </w:rPr>
              <w:t>to support the policy of transport and accessibility improvement</w:t>
            </w:r>
            <w:r>
              <w:rPr>
                <w:rFonts w:cs="Calibri"/>
                <w:sz w:val="18"/>
                <w:szCs w:val="20"/>
                <w:lang w:eastAsia="fr-FR"/>
              </w:rPr>
              <w:t xml:space="preserve"> with a particular focus on Finland. </w:t>
            </w:r>
          </w:p>
        </w:tc>
      </w:tr>
      <w:tr w:rsidR="001B36DC" w:rsidRPr="00AD3BFE" w:rsidTr="00BC3B2A">
        <w:trPr>
          <w:trHeight w:val="274"/>
        </w:trPr>
        <w:tc>
          <w:tcPr>
            <w:tcW w:w="1276" w:type="dxa"/>
            <w:shd w:val="clear" w:color="auto" w:fill="FFFFFF" w:themeFill="background1"/>
          </w:tcPr>
          <w:p w:rsidR="001B36DC" w:rsidRPr="00302288" w:rsidRDefault="001B36DC" w:rsidP="00BC3B2A">
            <w:pPr>
              <w:spacing w:after="0" w:line="20" w:lineRule="atLeast"/>
              <w:rPr>
                <w:sz w:val="18"/>
                <w:szCs w:val="18"/>
              </w:rPr>
            </w:pPr>
            <w:r w:rsidRPr="00D163F7">
              <w:rPr>
                <w:sz w:val="18"/>
                <w:szCs w:val="18"/>
              </w:rPr>
              <w:t>PURR</w:t>
            </w:r>
          </w:p>
        </w:tc>
        <w:tc>
          <w:tcPr>
            <w:tcW w:w="1418" w:type="dxa"/>
            <w:shd w:val="clear" w:color="auto" w:fill="FFFFFF" w:themeFill="background1"/>
          </w:tcPr>
          <w:p w:rsidR="001B36DC" w:rsidRPr="00302288" w:rsidRDefault="001B36DC" w:rsidP="00BC3B2A">
            <w:pPr>
              <w:spacing w:after="0" w:line="20" w:lineRule="atLeast"/>
              <w:rPr>
                <w:sz w:val="18"/>
                <w:szCs w:val="18"/>
              </w:rPr>
            </w:pPr>
            <w:r w:rsidRPr="00E27CAC">
              <w:rPr>
                <w:sz w:val="18"/>
                <w:szCs w:val="18"/>
              </w:rPr>
              <w:t>Rural regions</w:t>
            </w:r>
          </w:p>
        </w:tc>
        <w:tc>
          <w:tcPr>
            <w:tcW w:w="5670" w:type="dxa"/>
            <w:shd w:val="clear" w:color="auto" w:fill="FFFFFF" w:themeFill="background1"/>
          </w:tcPr>
          <w:p w:rsidR="001B36DC" w:rsidRDefault="001B36DC" w:rsidP="00BC3B2A">
            <w:pPr>
              <w:autoSpaceDE w:val="0"/>
              <w:autoSpaceDN w:val="0"/>
              <w:adjustRightInd w:val="0"/>
              <w:snapToGrid w:val="0"/>
              <w:spacing w:after="0" w:line="240" w:lineRule="auto"/>
              <w:rPr>
                <w:rFonts w:cs="Calibri"/>
                <w:sz w:val="18"/>
                <w:szCs w:val="20"/>
                <w:lang w:eastAsia="fr-FR"/>
              </w:rPr>
            </w:pPr>
            <w:r w:rsidRPr="00E27CAC">
              <w:rPr>
                <w:rFonts w:cs="Calibri"/>
                <w:sz w:val="18"/>
                <w:szCs w:val="20"/>
                <w:lang w:eastAsia="fr-FR"/>
              </w:rPr>
              <w:t xml:space="preserve">It </w:t>
            </w:r>
            <w:r>
              <w:rPr>
                <w:rFonts w:cs="Calibri"/>
                <w:sz w:val="18"/>
                <w:szCs w:val="20"/>
                <w:lang w:eastAsia="fr-FR"/>
              </w:rPr>
              <w:t>describes the</w:t>
            </w:r>
            <w:r w:rsidRPr="00E27CAC">
              <w:rPr>
                <w:rFonts w:cs="Calibri"/>
                <w:sz w:val="18"/>
                <w:szCs w:val="20"/>
                <w:lang w:eastAsia="fr-FR"/>
              </w:rPr>
              <w:t xml:space="preserve"> potential of some rural areas </w:t>
            </w:r>
            <w:r>
              <w:rPr>
                <w:rFonts w:cs="Calibri"/>
                <w:sz w:val="18"/>
                <w:szCs w:val="20"/>
                <w:lang w:eastAsia="fr-FR"/>
              </w:rPr>
              <w:t xml:space="preserve">and </w:t>
            </w:r>
            <w:r w:rsidRPr="00E27CAC">
              <w:rPr>
                <w:rFonts w:cs="Calibri"/>
                <w:sz w:val="18"/>
                <w:szCs w:val="20"/>
                <w:lang w:eastAsia="fr-FR"/>
              </w:rPr>
              <w:t xml:space="preserve">towns </w:t>
            </w:r>
            <w:r>
              <w:rPr>
                <w:rFonts w:cs="Calibri"/>
                <w:sz w:val="18"/>
                <w:szCs w:val="20"/>
                <w:lang w:eastAsia="fr-FR"/>
              </w:rPr>
              <w:t xml:space="preserve">with a focus on: </w:t>
            </w:r>
            <w:r w:rsidRPr="00E27CAC">
              <w:rPr>
                <w:rFonts w:cs="Calibri"/>
                <w:sz w:val="18"/>
                <w:szCs w:val="20"/>
                <w:lang w:eastAsia="fr-FR"/>
              </w:rPr>
              <w:t>the North Sea, the Irish Sea</w:t>
            </w:r>
            <w:r>
              <w:rPr>
                <w:rFonts w:cs="Calibri"/>
                <w:sz w:val="18"/>
                <w:szCs w:val="20"/>
                <w:lang w:eastAsia="fr-FR"/>
              </w:rPr>
              <w:t>,</w:t>
            </w:r>
            <w:r w:rsidRPr="00E27CAC">
              <w:rPr>
                <w:rFonts w:cs="Calibri"/>
                <w:sz w:val="18"/>
                <w:szCs w:val="20"/>
                <w:lang w:eastAsia="fr-FR"/>
              </w:rPr>
              <w:t xml:space="preserve"> the Baltic Sea.</w:t>
            </w:r>
          </w:p>
        </w:tc>
      </w:tr>
    </w:tbl>
    <w:p w:rsidR="001B36DC" w:rsidRDefault="001B36DC" w:rsidP="001B36DC">
      <w:pPr>
        <w:spacing w:before="240"/>
      </w:pPr>
      <w:r>
        <w:t>Furthermore, some of overall ESPON products of particular interest for territorial cooperation are:</w:t>
      </w:r>
    </w:p>
    <w:p w:rsidR="001B36DC" w:rsidRDefault="001B36DC" w:rsidP="001B36DC">
      <w:pPr>
        <w:pStyle w:val="Listeavsnitt"/>
        <w:numPr>
          <w:ilvl w:val="0"/>
          <w:numId w:val="4"/>
        </w:numPr>
      </w:pPr>
      <w:r w:rsidRPr="00112693">
        <w:rPr>
          <w:b/>
        </w:rPr>
        <w:t>ESPON Synthesis report</w:t>
      </w:r>
      <w:r>
        <w:t xml:space="preserve"> “new evidence on smart, sustainable and inclusive territories” provides an easy to read overview on ESPON results available. </w:t>
      </w:r>
    </w:p>
    <w:p w:rsidR="001B36DC" w:rsidRDefault="001B36DC" w:rsidP="001B36DC">
      <w:pPr>
        <w:pStyle w:val="Listeavsnitt"/>
        <w:numPr>
          <w:ilvl w:val="0"/>
          <w:numId w:val="4"/>
        </w:numPr>
      </w:pPr>
      <w:r w:rsidRPr="00112693">
        <w:rPr>
          <w:b/>
        </w:rPr>
        <w:t>ESPON Territorial Observations</w:t>
      </w:r>
      <w:r>
        <w:t xml:space="preserve"> is a publication series, which on a few pages presents policy relevant findings deriving from latest ESPON research. </w:t>
      </w:r>
    </w:p>
    <w:p w:rsidR="001B36DC" w:rsidRPr="00A33083" w:rsidRDefault="001B36DC" w:rsidP="001B36DC">
      <w:pPr>
        <w:pStyle w:val="Listeavsnitt"/>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1B36DC" w:rsidRDefault="001B36DC" w:rsidP="001B36DC">
      <w:pPr>
        <w:pStyle w:val="Listeavsnitt"/>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1B36DC" w:rsidRPr="00CD642B" w:rsidRDefault="001B36DC" w:rsidP="001B36DC">
      <w:pPr>
        <w:pStyle w:val="Listeavsnitt"/>
        <w:numPr>
          <w:ilvl w:val="0"/>
          <w:numId w:val="4"/>
        </w:numPr>
      </w:pPr>
      <w:r w:rsidRPr="00112693">
        <w:rPr>
          <w:b/>
        </w:rPr>
        <w:t>ESPON MapFinder</w:t>
      </w:r>
      <w:r w:rsidRPr="00CD642B">
        <w:t xml:space="preserve"> provides access to the most relevant ESPON maps resulting from ESPON projects and reports. </w:t>
      </w:r>
    </w:p>
    <w:p w:rsidR="001B36DC" w:rsidRDefault="001B36DC" w:rsidP="001B36DC">
      <w:pPr>
        <w:pStyle w:val="Listeavsnitt"/>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1B36DC" w:rsidRPr="005A5FC4" w:rsidRDefault="001B36DC" w:rsidP="001B36DC">
      <w:pPr>
        <w:jc w:val="center"/>
      </w:pPr>
      <w:r w:rsidRPr="00CD642B">
        <w:t>All ESPON reports and tools are freely available at</w:t>
      </w:r>
      <w:r>
        <w:br/>
      </w:r>
      <w:r w:rsidRPr="00327EE2">
        <w:rPr>
          <w:b/>
        </w:rPr>
        <w:t>www.espon.eu</w:t>
      </w:r>
      <w:r>
        <w:rPr>
          <w:b/>
        </w:rPr>
        <w:t xml:space="preserve"> </w:t>
      </w:r>
    </w:p>
    <w:p w:rsidR="00BC65E1" w:rsidRPr="00127102" w:rsidRDefault="001B300C" w:rsidP="00BC65E1">
      <w:pPr>
        <w:pStyle w:val="ESPONText"/>
        <w:rPr>
          <w:rFonts w:ascii="Arial" w:hAnsi="Arial" w:cs="Arial"/>
        </w:rPr>
      </w:pPr>
      <w:r>
        <w:rPr>
          <w:rFonts w:ascii="Arial" w:hAnsi="Arial" w:cs="Arial"/>
          <w:noProof/>
          <w:lang w:val="nb-NO" w:eastAsia="nb-NO"/>
        </w:rPr>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F65997" w:rsidRPr="00F65997">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7C1E27" w:rsidRPr="001234C2" w:rsidRDefault="007C1E27" w:rsidP="001234C2">
                  <w:pPr>
                    <w:rPr>
                      <w:szCs w:val="20"/>
                    </w:rPr>
                  </w:pPr>
                </w:p>
              </w:txbxContent>
            </v:textbox>
          </v:shape>
        </w:pict>
      </w:r>
      <w:r w:rsidR="00F65997" w:rsidRPr="00F65997">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7C1E27" w:rsidRPr="00FB783A" w:rsidRDefault="007C1E27"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EDF" w:rsidRDefault="00406EDF">
      <w:r>
        <w:separator/>
      </w:r>
    </w:p>
  </w:endnote>
  <w:endnote w:type="continuationSeparator" w:id="0">
    <w:p w:rsidR="00406EDF" w:rsidRDefault="00406E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Default="00F65997" w:rsidP="00BC65E1">
    <w:pPr>
      <w:framePr w:wrap="around" w:vAnchor="text" w:hAnchor="margin" w:xAlign="right" w:y="1"/>
      <w:rPr>
        <w:rStyle w:val="Sidetall"/>
      </w:rPr>
    </w:pPr>
    <w:r>
      <w:rPr>
        <w:rStyle w:val="Sidetall"/>
      </w:rPr>
      <w:fldChar w:fldCharType="begin"/>
    </w:r>
    <w:r w:rsidR="007C1E27">
      <w:rPr>
        <w:rStyle w:val="Sidetall"/>
      </w:rPr>
      <w:instrText xml:space="preserve">PAGE  </w:instrText>
    </w:r>
    <w:r>
      <w:rPr>
        <w:rStyle w:val="Sidetall"/>
      </w:rPr>
      <w:fldChar w:fldCharType="separate"/>
    </w:r>
    <w:r w:rsidR="007C1E27">
      <w:rPr>
        <w:rStyle w:val="Sidetall"/>
        <w:noProof/>
      </w:rPr>
      <w:t>3</w:t>
    </w:r>
    <w:r>
      <w:rPr>
        <w:rStyle w:val="Sidetall"/>
      </w:rPr>
      <w:fldChar w:fldCharType="end"/>
    </w:r>
  </w:p>
  <w:p w:rsidR="007C1E27" w:rsidRDefault="007C1E27">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Pr="00A15B61" w:rsidRDefault="00F65997" w:rsidP="00BC65E1">
    <w:pPr>
      <w:pStyle w:val="Bunntekst"/>
      <w:framePr w:wrap="around" w:vAnchor="text" w:hAnchor="margin" w:xAlign="right" w:y="1"/>
      <w:rPr>
        <w:rStyle w:val="Sidetall"/>
      </w:rPr>
    </w:pPr>
    <w:r w:rsidRPr="00A15B61">
      <w:rPr>
        <w:rStyle w:val="Sidetall"/>
        <w:szCs w:val="20"/>
      </w:rPr>
      <w:fldChar w:fldCharType="begin"/>
    </w:r>
    <w:r w:rsidR="007C1E27">
      <w:rPr>
        <w:rStyle w:val="Sidetall"/>
        <w:szCs w:val="20"/>
      </w:rPr>
      <w:instrText>PAGE</w:instrText>
    </w:r>
    <w:r w:rsidR="007C1E27" w:rsidRPr="00A15B61">
      <w:rPr>
        <w:rStyle w:val="Sidetall"/>
        <w:szCs w:val="20"/>
      </w:rPr>
      <w:instrText xml:space="preserve">  </w:instrText>
    </w:r>
    <w:r w:rsidRPr="00A15B61">
      <w:rPr>
        <w:rStyle w:val="Sidetall"/>
        <w:szCs w:val="20"/>
      </w:rPr>
      <w:fldChar w:fldCharType="separate"/>
    </w:r>
    <w:r w:rsidR="00C52654">
      <w:rPr>
        <w:rStyle w:val="Sidetall"/>
        <w:noProof/>
        <w:szCs w:val="20"/>
      </w:rPr>
      <w:t>1</w:t>
    </w:r>
    <w:r w:rsidRPr="00A15B61">
      <w:rPr>
        <w:rStyle w:val="Sidetall"/>
        <w:szCs w:val="20"/>
      </w:rPr>
      <w:fldChar w:fldCharType="end"/>
    </w:r>
  </w:p>
  <w:p w:rsidR="007C1E27" w:rsidRPr="00A15B61" w:rsidRDefault="007C1E27" w:rsidP="006A3291">
    <w:pPr>
      <w:pStyle w:val="Bunntekst"/>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Pr="00A15B61" w:rsidRDefault="00F65997" w:rsidP="00BC65E1">
    <w:pPr>
      <w:pStyle w:val="Bunntekst"/>
      <w:framePr w:wrap="around" w:vAnchor="text" w:hAnchor="margin" w:xAlign="right" w:y="1"/>
      <w:rPr>
        <w:rStyle w:val="Sidetall"/>
      </w:rPr>
    </w:pPr>
    <w:r w:rsidRPr="00A15B61">
      <w:rPr>
        <w:rStyle w:val="Sidetall"/>
        <w:szCs w:val="20"/>
      </w:rPr>
      <w:fldChar w:fldCharType="begin"/>
    </w:r>
    <w:r w:rsidR="007C1E27">
      <w:rPr>
        <w:rStyle w:val="Sidetall"/>
        <w:szCs w:val="20"/>
      </w:rPr>
      <w:instrText>PAGE</w:instrText>
    </w:r>
    <w:r w:rsidR="007C1E27" w:rsidRPr="00A15B61">
      <w:rPr>
        <w:rStyle w:val="Sidetall"/>
        <w:szCs w:val="20"/>
      </w:rPr>
      <w:instrText xml:space="preserve">  </w:instrText>
    </w:r>
    <w:r w:rsidRPr="00A15B61">
      <w:rPr>
        <w:rStyle w:val="Sidetall"/>
        <w:szCs w:val="20"/>
      </w:rPr>
      <w:fldChar w:fldCharType="separate"/>
    </w:r>
    <w:r w:rsidR="00C52654">
      <w:rPr>
        <w:rStyle w:val="Sidetall"/>
        <w:noProof/>
        <w:szCs w:val="20"/>
      </w:rPr>
      <w:t>16</w:t>
    </w:r>
    <w:r w:rsidRPr="00A15B61">
      <w:rPr>
        <w:rStyle w:val="Sidetall"/>
        <w:szCs w:val="20"/>
      </w:rPr>
      <w:fldChar w:fldCharType="end"/>
    </w:r>
  </w:p>
  <w:p w:rsidR="007C1E27" w:rsidRPr="00A15B61" w:rsidRDefault="007C1E27" w:rsidP="006A3291">
    <w:pPr>
      <w:pStyle w:val="Bunntekst"/>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EDF" w:rsidRDefault="00406EDF">
      <w:r>
        <w:separator/>
      </w:r>
    </w:p>
  </w:footnote>
  <w:footnote w:type="continuationSeparator" w:id="0">
    <w:p w:rsidR="00406EDF" w:rsidRDefault="00406E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Default="00F65997">
    <w:pPr>
      <w:pStyle w:val="Topptekst"/>
    </w:pPr>
    <w:r w:rsidRPr="00F65997">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7C1E27" w:rsidRDefault="007C1E27"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7C1E27" w:rsidRPr="00721B03" w:rsidRDefault="007C1E27"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7C1E27">
      <w:rPr>
        <w:noProof/>
        <w:lang w:val="nb-NO" w:eastAsia="nb-NO"/>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Default="007C1E27">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45F46"/>
    <w:rsid w:val="00050AB6"/>
    <w:rsid w:val="000527DC"/>
    <w:rsid w:val="00055A97"/>
    <w:rsid w:val="00056324"/>
    <w:rsid w:val="000576BC"/>
    <w:rsid w:val="00061CE3"/>
    <w:rsid w:val="00063161"/>
    <w:rsid w:val="00064853"/>
    <w:rsid w:val="000664C7"/>
    <w:rsid w:val="00072557"/>
    <w:rsid w:val="00073957"/>
    <w:rsid w:val="00073BFF"/>
    <w:rsid w:val="00077C32"/>
    <w:rsid w:val="000812A6"/>
    <w:rsid w:val="00083607"/>
    <w:rsid w:val="00085BAD"/>
    <w:rsid w:val="00086387"/>
    <w:rsid w:val="000977BF"/>
    <w:rsid w:val="000A0B9B"/>
    <w:rsid w:val="000A0F69"/>
    <w:rsid w:val="000A4DE7"/>
    <w:rsid w:val="000A647A"/>
    <w:rsid w:val="000B3819"/>
    <w:rsid w:val="000B4718"/>
    <w:rsid w:val="000B58AA"/>
    <w:rsid w:val="000B7A7D"/>
    <w:rsid w:val="000B7F4E"/>
    <w:rsid w:val="000C1937"/>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34C2"/>
    <w:rsid w:val="0012533B"/>
    <w:rsid w:val="001260F4"/>
    <w:rsid w:val="00127104"/>
    <w:rsid w:val="00132FDD"/>
    <w:rsid w:val="00133602"/>
    <w:rsid w:val="00134DC7"/>
    <w:rsid w:val="0013600B"/>
    <w:rsid w:val="00147567"/>
    <w:rsid w:val="001507D7"/>
    <w:rsid w:val="00150A5A"/>
    <w:rsid w:val="00150FCB"/>
    <w:rsid w:val="00151954"/>
    <w:rsid w:val="00152974"/>
    <w:rsid w:val="00153108"/>
    <w:rsid w:val="0015600D"/>
    <w:rsid w:val="0015691A"/>
    <w:rsid w:val="00157B13"/>
    <w:rsid w:val="00160638"/>
    <w:rsid w:val="00162FF6"/>
    <w:rsid w:val="0016435C"/>
    <w:rsid w:val="00172B99"/>
    <w:rsid w:val="00177F91"/>
    <w:rsid w:val="00180D67"/>
    <w:rsid w:val="00182673"/>
    <w:rsid w:val="001838FE"/>
    <w:rsid w:val="00184B93"/>
    <w:rsid w:val="001907DA"/>
    <w:rsid w:val="00191F3D"/>
    <w:rsid w:val="001929F2"/>
    <w:rsid w:val="00192B9B"/>
    <w:rsid w:val="0019394E"/>
    <w:rsid w:val="00193F6F"/>
    <w:rsid w:val="001A0A8D"/>
    <w:rsid w:val="001A30F4"/>
    <w:rsid w:val="001A42AD"/>
    <w:rsid w:val="001A7669"/>
    <w:rsid w:val="001B0526"/>
    <w:rsid w:val="001B13B6"/>
    <w:rsid w:val="001B300C"/>
    <w:rsid w:val="001B36D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657"/>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61D1"/>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E57"/>
    <w:rsid w:val="002A15B2"/>
    <w:rsid w:val="002A2C96"/>
    <w:rsid w:val="002A7776"/>
    <w:rsid w:val="002B1929"/>
    <w:rsid w:val="002B51CA"/>
    <w:rsid w:val="002B71A8"/>
    <w:rsid w:val="002C06ED"/>
    <w:rsid w:val="002C2CBC"/>
    <w:rsid w:val="002C4473"/>
    <w:rsid w:val="002C780D"/>
    <w:rsid w:val="002D1443"/>
    <w:rsid w:val="002D3185"/>
    <w:rsid w:val="002D506C"/>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1F61"/>
    <w:rsid w:val="0039373B"/>
    <w:rsid w:val="00396D72"/>
    <w:rsid w:val="00397CB9"/>
    <w:rsid w:val="003A016A"/>
    <w:rsid w:val="003A27BC"/>
    <w:rsid w:val="003A2F36"/>
    <w:rsid w:val="003A3852"/>
    <w:rsid w:val="003B0962"/>
    <w:rsid w:val="003B21D4"/>
    <w:rsid w:val="003C112D"/>
    <w:rsid w:val="003C261B"/>
    <w:rsid w:val="003C354A"/>
    <w:rsid w:val="003C3688"/>
    <w:rsid w:val="003C4DAF"/>
    <w:rsid w:val="003D1B4F"/>
    <w:rsid w:val="003D2A84"/>
    <w:rsid w:val="003D3487"/>
    <w:rsid w:val="003D4618"/>
    <w:rsid w:val="003D4A24"/>
    <w:rsid w:val="003D5114"/>
    <w:rsid w:val="003D57E2"/>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6EDF"/>
    <w:rsid w:val="0040760B"/>
    <w:rsid w:val="00410A29"/>
    <w:rsid w:val="004122A0"/>
    <w:rsid w:val="00412C19"/>
    <w:rsid w:val="004173E4"/>
    <w:rsid w:val="004177FC"/>
    <w:rsid w:val="0042391C"/>
    <w:rsid w:val="0042502E"/>
    <w:rsid w:val="00433090"/>
    <w:rsid w:val="004353CB"/>
    <w:rsid w:val="00435846"/>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AE5"/>
    <w:rsid w:val="00545F8A"/>
    <w:rsid w:val="005463AC"/>
    <w:rsid w:val="00552FAD"/>
    <w:rsid w:val="00556D25"/>
    <w:rsid w:val="00562AB0"/>
    <w:rsid w:val="00562D4C"/>
    <w:rsid w:val="0056756F"/>
    <w:rsid w:val="00571653"/>
    <w:rsid w:val="00571A61"/>
    <w:rsid w:val="00571C81"/>
    <w:rsid w:val="0057346D"/>
    <w:rsid w:val="005761A6"/>
    <w:rsid w:val="005801DC"/>
    <w:rsid w:val="00582C35"/>
    <w:rsid w:val="00585345"/>
    <w:rsid w:val="00593AD0"/>
    <w:rsid w:val="00593B7A"/>
    <w:rsid w:val="00595161"/>
    <w:rsid w:val="005967A2"/>
    <w:rsid w:val="00597872"/>
    <w:rsid w:val="005A3E20"/>
    <w:rsid w:val="005A5FC4"/>
    <w:rsid w:val="005A73D9"/>
    <w:rsid w:val="005A7DFC"/>
    <w:rsid w:val="005B20FE"/>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31BF"/>
    <w:rsid w:val="005F353F"/>
    <w:rsid w:val="005F7BDC"/>
    <w:rsid w:val="0060091E"/>
    <w:rsid w:val="00610DAB"/>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72F3A"/>
    <w:rsid w:val="006743AD"/>
    <w:rsid w:val="00680B22"/>
    <w:rsid w:val="0068242A"/>
    <w:rsid w:val="00682613"/>
    <w:rsid w:val="00682B57"/>
    <w:rsid w:val="006847A3"/>
    <w:rsid w:val="006859CC"/>
    <w:rsid w:val="00690277"/>
    <w:rsid w:val="0069219F"/>
    <w:rsid w:val="00695762"/>
    <w:rsid w:val="006A17A6"/>
    <w:rsid w:val="006A30AF"/>
    <w:rsid w:val="006A3291"/>
    <w:rsid w:val="006A5610"/>
    <w:rsid w:val="006A5F96"/>
    <w:rsid w:val="006A7FE2"/>
    <w:rsid w:val="006B48FD"/>
    <w:rsid w:val="006B59A1"/>
    <w:rsid w:val="006C481B"/>
    <w:rsid w:val="006D18CA"/>
    <w:rsid w:val="006D26C2"/>
    <w:rsid w:val="006D3D3E"/>
    <w:rsid w:val="006D4D0B"/>
    <w:rsid w:val="006D5157"/>
    <w:rsid w:val="006D5350"/>
    <w:rsid w:val="006D6890"/>
    <w:rsid w:val="006D7F5A"/>
    <w:rsid w:val="006E1A6B"/>
    <w:rsid w:val="006E4366"/>
    <w:rsid w:val="006E5E38"/>
    <w:rsid w:val="006E618B"/>
    <w:rsid w:val="006F0BC4"/>
    <w:rsid w:val="006F222E"/>
    <w:rsid w:val="006F49F1"/>
    <w:rsid w:val="006F4E16"/>
    <w:rsid w:val="00701B4A"/>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3C62"/>
    <w:rsid w:val="007456E2"/>
    <w:rsid w:val="00747707"/>
    <w:rsid w:val="00761029"/>
    <w:rsid w:val="0076148F"/>
    <w:rsid w:val="007656EC"/>
    <w:rsid w:val="00766A2D"/>
    <w:rsid w:val="00770B59"/>
    <w:rsid w:val="00771843"/>
    <w:rsid w:val="0077695D"/>
    <w:rsid w:val="0078171A"/>
    <w:rsid w:val="007818D2"/>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4C19"/>
    <w:rsid w:val="007B59B6"/>
    <w:rsid w:val="007B7ADB"/>
    <w:rsid w:val="007C1E27"/>
    <w:rsid w:val="007C52E9"/>
    <w:rsid w:val="007E2555"/>
    <w:rsid w:val="007E3756"/>
    <w:rsid w:val="007E38DB"/>
    <w:rsid w:val="007F16DF"/>
    <w:rsid w:val="007F2A06"/>
    <w:rsid w:val="007F3142"/>
    <w:rsid w:val="00801878"/>
    <w:rsid w:val="008044DD"/>
    <w:rsid w:val="00804BA1"/>
    <w:rsid w:val="00805E5D"/>
    <w:rsid w:val="00811469"/>
    <w:rsid w:val="00812490"/>
    <w:rsid w:val="00812ECD"/>
    <w:rsid w:val="00812FA2"/>
    <w:rsid w:val="008132AD"/>
    <w:rsid w:val="0081363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56F"/>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17D3"/>
    <w:rsid w:val="008F3EE5"/>
    <w:rsid w:val="008F6322"/>
    <w:rsid w:val="008F7203"/>
    <w:rsid w:val="00905001"/>
    <w:rsid w:val="00906A2B"/>
    <w:rsid w:val="009116A2"/>
    <w:rsid w:val="00911A6A"/>
    <w:rsid w:val="0091343C"/>
    <w:rsid w:val="00913874"/>
    <w:rsid w:val="00921D38"/>
    <w:rsid w:val="0092562C"/>
    <w:rsid w:val="00925F2E"/>
    <w:rsid w:val="00927D4F"/>
    <w:rsid w:val="00931A61"/>
    <w:rsid w:val="009342B1"/>
    <w:rsid w:val="00934D0E"/>
    <w:rsid w:val="0093778A"/>
    <w:rsid w:val="0094059F"/>
    <w:rsid w:val="00943F1C"/>
    <w:rsid w:val="00946375"/>
    <w:rsid w:val="009511C4"/>
    <w:rsid w:val="00951B33"/>
    <w:rsid w:val="00952C12"/>
    <w:rsid w:val="009540EB"/>
    <w:rsid w:val="009607D7"/>
    <w:rsid w:val="00970D7D"/>
    <w:rsid w:val="00971C9B"/>
    <w:rsid w:val="009727D3"/>
    <w:rsid w:val="009729A4"/>
    <w:rsid w:val="00973416"/>
    <w:rsid w:val="00974016"/>
    <w:rsid w:val="00974649"/>
    <w:rsid w:val="00977AED"/>
    <w:rsid w:val="00983AB6"/>
    <w:rsid w:val="0099613A"/>
    <w:rsid w:val="00997518"/>
    <w:rsid w:val="009A379F"/>
    <w:rsid w:val="009A71B0"/>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483"/>
    <w:rsid w:val="009E1C7F"/>
    <w:rsid w:val="009E361D"/>
    <w:rsid w:val="009E51E3"/>
    <w:rsid w:val="009E5720"/>
    <w:rsid w:val="009E62EA"/>
    <w:rsid w:val="009E70A1"/>
    <w:rsid w:val="009F21F0"/>
    <w:rsid w:val="009F2583"/>
    <w:rsid w:val="009F3D83"/>
    <w:rsid w:val="009F48C3"/>
    <w:rsid w:val="009F7417"/>
    <w:rsid w:val="009F77A8"/>
    <w:rsid w:val="00A02FD6"/>
    <w:rsid w:val="00A0472D"/>
    <w:rsid w:val="00A06AEA"/>
    <w:rsid w:val="00A075C1"/>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028F"/>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3A28"/>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1E14"/>
    <w:rsid w:val="00BE0557"/>
    <w:rsid w:val="00BE188E"/>
    <w:rsid w:val="00BE223D"/>
    <w:rsid w:val="00BE4274"/>
    <w:rsid w:val="00BE6599"/>
    <w:rsid w:val="00BF378B"/>
    <w:rsid w:val="00BF3C62"/>
    <w:rsid w:val="00BF56C7"/>
    <w:rsid w:val="00C00C96"/>
    <w:rsid w:val="00C019EF"/>
    <w:rsid w:val="00C021E7"/>
    <w:rsid w:val="00C033E5"/>
    <w:rsid w:val="00C04A1F"/>
    <w:rsid w:val="00C04A31"/>
    <w:rsid w:val="00C0554A"/>
    <w:rsid w:val="00C11D58"/>
    <w:rsid w:val="00C13A33"/>
    <w:rsid w:val="00C1408A"/>
    <w:rsid w:val="00C160A4"/>
    <w:rsid w:val="00C25CB5"/>
    <w:rsid w:val="00C26F3B"/>
    <w:rsid w:val="00C30BF8"/>
    <w:rsid w:val="00C32582"/>
    <w:rsid w:val="00C32DB4"/>
    <w:rsid w:val="00C33A99"/>
    <w:rsid w:val="00C34A6E"/>
    <w:rsid w:val="00C421CA"/>
    <w:rsid w:val="00C46385"/>
    <w:rsid w:val="00C5084D"/>
    <w:rsid w:val="00C508D6"/>
    <w:rsid w:val="00C51A75"/>
    <w:rsid w:val="00C520E9"/>
    <w:rsid w:val="00C5255D"/>
    <w:rsid w:val="00C52654"/>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B73DA"/>
    <w:rsid w:val="00CC1A98"/>
    <w:rsid w:val="00CC6723"/>
    <w:rsid w:val="00CC7EC5"/>
    <w:rsid w:val="00CD45BE"/>
    <w:rsid w:val="00CD642B"/>
    <w:rsid w:val="00CD6A77"/>
    <w:rsid w:val="00CD6FEB"/>
    <w:rsid w:val="00CE4087"/>
    <w:rsid w:val="00CE61D3"/>
    <w:rsid w:val="00CE67DD"/>
    <w:rsid w:val="00CF4683"/>
    <w:rsid w:val="00CF524F"/>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334B0"/>
    <w:rsid w:val="00D340A8"/>
    <w:rsid w:val="00D35029"/>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217F"/>
    <w:rsid w:val="00D83C64"/>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E6F60"/>
    <w:rsid w:val="00DF05F7"/>
    <w:rsid w:val="00DF22D8"/>
    <w:rsid w:val="00DF76E3"/>
    <w:rsid w:val="00E02024"/>
    <w:rsid w:val="00E03013"/>
    <w:rsid w:val="00E03104"/>
    <w:rsid w:val="00E03ABA"/>
    <w:rsid w:val="00E04EC2"/>
    <w:rsid w:val="00E10213"/>
    <w:rsid w:val="00E108F5"/>
    <w:rsid w:val="00E11808"/>
    <w:rsid w:val="00E11F16"/>
    <w:rsid w:val="00E21E7C"/>
    <w:rsid w:val="00E2224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0FF1"/>
    <w:rsid w:val="00EC2089"/>
    <w:rsid w:val="00EC4562"/>
    <w:rsid w:val="00EC6878"/>
    <w:rsid w:val="00ED077F"/>
    <w:rsid w:val="00ED236B"/>
    <w:rsid w:val="00ED58B7"/>
    <w:rsid w:val="00ED5923"/>
    <w:rsid w:val="00EE082D"/>
    <w:rsid w:val="00EE2B02"/>
    <w:rsid w:val="00EE31B3"/>
    <w:rsid w:val="00EF11A3"/>
    <w:rsid w:val="00EF6686"/>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65997"/>
    <w:rsid w:val="00F7063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35C3"/>
    <w:rsid w:val="00FE7D95"/>
    <w:rsid w:val="00FF0B61"/>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Overskrift1">
    <w:name w:val="heading 1"/>
    <w:basedOn w:val="Normal"/>
    <w:next w:val="Normal"/>
    <w:link w:val="Overskrift1Tegn"/>
    <w:autoRedefine/>
    <w:qFormat/>
    <w:rsid w:val="00001320"/>
    <w:pPr>
      <w:keepNext/>
      <w:numPr>
        <w:numId w:val="3"/>
      </w:numPr>
      <w:spacing w:before="120" w:line="240" w:lineRule="auto"/>
      <w:outlineLvl w:val="0"/>
    </w:pPr>
    <w:rPr>
      <w:b/>
      <w:bCs/>
      <w:kern w:val="32"/>
      <w:sz w:val="28"/>
      <w:szCs w:val="32"/>
    </w:rPr>
  </w:style>
  <w:style w:type="paragraph" w:styleId="Overskrift2">
    <w:name w:val="heading 2"/>
    <w:basedOn w:val="Overskrift1"/>
    <w:next w:val="Normal"/>
    <w:link w:val="Overskrift2Tegn"/>
    <w:qFormat/>
    <w:rsid w:val="00001320"/>
    <w:pPr>
      <w:numPr>
        <w:ilvl w:val="1"/>
      </w:numPr>
      <w:outlineLvl w:val="1"/>
    </w:pPr>
    <w:rPr>
      <w:rFonts w:cs="Arial"/>
      <w:b w:val="0"/>
      <w:bCs w:val="0"/>
      <w:iCs/>
      <w:sz w:val="24"/>
      <w:szCs w:val="28"/>
      <w:lang w:val="en-US"/>
    </w:rPr>
  </w:style>
  <w:style w:type="paragraph" w:styleId="Overskrift3">
    <w:name w:val="heading 3"/>
    <w:basedOn w:val="Normal"/>
    <w:next w:val="Normal"/>
    <w:link w:val="Overskrift3Tegn"/>
    <w:rsid w:val="00946375"/>
    <w:pPr>
      <w:keepNext/>
      <w:spacing w:before="240" w:after="60"/>
      <w:outlineLvl w:val="2"/>
    </w:pPr>
    <w:rPr>
      <w:b/>
      <w:bCs/>
      <w:sz w:val="22"/>
      <w:szCs w:val="26"/>
    </w:rPr>
  </w:style>
  <w:style w:type="paragraph" w:styleId="Overskrift4">
    <w:name w:val="heading 4"/>
    <w:basedOn w:val="Normal"/>
    <w:next w:val="Normal"/>
    <w:link w:val="Overskrift4Tegn"/>
    <w:rsid w:val="00001320"/>
    <w:pPr>
      <w:keepNext/>
      <w:numPr>
        <w:ilvl w:val="3"/>
        <w:numId w:val="3"/>
      </w:numPr>
      <w:spacing w:before="240" w:after="60"/>
      <w:outlineLvl w:val="3"/>
    </w:pPr>
    <w:rPr>
      <w:rFonts w:ascii="Cambria" w:hAnsi="Cambria"/>
      <w:b/>
      <w:bCs/>
      <w:sz w:val="28"/>
      <w:szCs w:val="28"/>
    </w:rPr>
  </w:style>
  <w:style w:type="paragraph" w:styleId="Overskrift5">
    <w:name w:val="heading 5"/>
    <w:basedOn w:val="Normal"/>
    <w:next w:val="Normal"/>
    <w:link w:val="Overskrift5Tegn"/>
    <w:rsid w:val="00001320"/>
    <w:pPr>
      <w:numPr>
        <w:ilvl w:val="4"/>
        <w:numId w:val="3"/>
      </w:numPr>
      <w:spacing w:before="240" w:after="60"/>
      <w:outlineLvl w:val="4"/>
    </w:pPr>
    <w:rPr>
      <w:rFonts w:ascii="Cambria" w:hAnsi="Cambria"/>
      <w:b/>
      <w:bCs/>
      <w:i/>
      <w:iCs/>
      <w:sz w:val="26"/>
      <w:szCs w:val="26"/>
    </w:rPr>
  </w:style>
  <w:style w:type="paragraph" w:styleId="Overskrift6">
    <w:name w:val="heading 6"/>
    <w:basedOn w:val="Normal"/>
    <w:next w:val="Normal"/>
    <w:link w:val="Overskrift6Tegn"/>
    <w:rsid w:val="00001320"/>
    <w:pPr>
      <w:numPr>
        <w:ilvl w:val="5"/>
        <w:numId w:val="3"/>
      </w:numPr>
      <w:spacing w:before="240" w:after="60"/>
      <w:outlineLvl w:val="5"/>
    </w:pPr>
    <w:rPr>
      <w:rFonts w:ascii="Cambria" w:hAnsi="Cambria"/>
      <w:b/>
      <w:bCs/>
      <w:szCs w:val="22"/>
    </w:rPr>
  </w:style>
  <w:style w:type="paragraph" w:styleId="Overskrift7">
    <w:name w:val="heading 7"/>
    <w:basedOn w:val="Normal"/>
    <w:next w:val="Normal"/>
    <w:link w:val="Overskrift7Tegn"/>
    <w:rsid w:val="00001320"/>
    <w:pPr>
      <w:numPr>
        <w:ilvl w:val="6"/>
        <w:numId w:val="3"/>
      </w:numPr>
      <w:spacing w:before="240" w:after="60"/>
      <w:outlineLvl w:val="6"/>
    </w:pPr>
    <w:rPr>
      <w:rFonts w:ascii="Cambria" w:hAnsi="Cambria"/>
      <w:sz w:val="24"/>
    </w:rPr>
  </w:style>
  <w:style w:type="paragraph" w:styleId="Overskrift8">
    <w:name w:val="heading 8"/>
    <w:basedOn w:val="Normal"/>
    <w:next w:val="Normal"/>
    <w:link w:val="Overskrift8Tegn"/>
    <w:rsid w:val="00001320"/>
    <w:pPr>
      <w:numPr>
        <w:ilvl w:val="7"/>
        <w:numId w:val="3"/>
      </w:numPr>
      <w:spacing w:before="240" w:after="60"/>
      <w:outlineLvl w:val="7"/>
    </w:pPr>
    <w:rPr>
      <w:rFonts w:ascii="Cambria" w:hAnsi="Cambria"/>
      <w:i/>
      <w:iCs/>
      <w:sz w:val="24"/>
    </w:rPr>
  </w:style>
  <w:style w:type="paragraph" w:styleId="Overskrift9">
    <w:name w:val="heading 9"/>
    <w:basedOn w:val="Normal"/>
    <w:next w:val="Normal"/>
    <w:link w:val="Overskrift9Tegn"/>
    <w:rsid w:val="00001320"/>
    <w:pPr>
      <w:numPr>
        <w:ilvl w:val="8"/>
        <w:numId w:val="3"/>
      </w:numPr>
      <w:spacing w:before="240" w:after="60"/>
      <w:outlineLvl w:val="8"/>
    </w:pPr>
    <w:rPr>
      <w:rFonts w:ascii="Calibri" w:hAnsi="Calibr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01320"/>
    <w:rPr>
      <w:rFonts w:ascii="Verdana" w:hAnsi="Verdana" w:cs="Arial"/>
      <w:iCs/>
      <w:kern w:val="32"/>
      <w:szCs w:val="28"/>
      <w:lang w:eastAsia="en-US"/>
    </w:rPr>
  </w:style>
  <w:style w:type="character" w:styleId="Sidetall">
    <w:name w:val="page number"/>
    <w:aliases w:val="ESPON Page No"/>
    <w:basedOn w:val="Standardskriftforavsnitt"/>
    <w:rsid w:val="00A15B61"/>
  </w:style>
  <w:style w:type="character" w:styleId="Hyperkobling">
    <w:name w:val="Hyperlink"/>
    <w:basedOn w:val="Standardskriftforav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Topptekst">
    <w:name w:val="header"/>
    <w:basedOn w:val="Normal"/>
    <w:rsid w:val="00A15B61"/>
    <w:pPr>
      <w:tabs>
        <w:tab w:val="center" w:pos="4320"/>
        <w:tab w:val="right" w:pos="8640"/>
      </w:tabs>
    </w:pPr>
  </w:style>
  <w:style w:type="paragraph" w:styleId="Bunntekst">
    <w:name w:val="footer"/>
    <w:basedOn w:val="Normal"/>
    <w:link w:val="BunntekstTegn"/>
    <w:rsid w:val="00A15B61"/>
    <w:pPr>
      <w:tabs>
        <w:tab w:val="center" w:pos="4320"/>
        <w:tab w:val="right" w:pos="8640"/>
      </w:tabs>
    </w:pPr>
  </w:style>
  <w:style w:type="table" w:styleId="Tabellrutenett">
    <w:name w:val="Table Grid"/>
    <w:basedOn w:val="Vanlig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721B03"/>
    <w:rPr>
      <w:rFonts w:ascii="Tahoma" w:hAnsi="Tahoma" w:cs="Tahoma"/>
      <w:sz w:val="16"/>
      <w:szCs w:val="16"/>
    </w:rPr>
  </w:style>
  <w:style w:type="character" w:customStyle="1" w:styleId="BobletekstTegn">
    <w:name w:val="Bobletekst Tegn"/>
    <w:basedOn w:val="Standardskriftforavsnitt"/>
    <w:link w:val="Bobletekst"/>
    <w:uiPriority w:val="99"/>
    <w:semiHidden/>
    <w:rsid w:val="00721B03"/>
    <w:rPr>
      <w:rFonts w:ascii="Tahoma" w:hAnsi="Tahoma" w:cs="Tahoma"/>
      <w:sz w:val="16"/>
      <w:szCs w:val="16"/>
      <w:lang w:val="en-GB"/>
    </w:rPr>
  </w:style>
  <w:style w:type="character" w:styleId="Fotnotereferanse">
    <w:name w:val="footnote reference"/>
    <w:basedOn w:val="Standardskriftforavsnitt"/>
    <w:semiHidden/>
    <w:rsid w:val="00C47ADC"/>
    <w:rPr>
      <w:sz w:val="20"/>
      <w:vertAlign w:val="superscript"/>
    </w:rPr>
  </w:style>
  <w:style w:type="paragraph" w:styleId="Fotnotetekst">
    <w:name w:val="footnote text"/>
    <w:link w:val="FotnotetekstTegn"/>
    <w:semiHidden/>
    <w:rsid w:val="00FD6260"/>
    <w:pPr>
      <w:jc w:val="both"/>
    </w:pPr>
    <w:rPr>
      <w:rFonts w:ascii="Arial" w:hAnsi="Arial"/>
      <w:sz w:val="18"/>
      <w:lang w:val="en-GB" w:eastAsia="en-US"/>
    </w:rPr>
  </w:style>
  <w:style w:type="character" w:customStyle="1" w:styleId="FotnotetekstTegn">
    <w:name w:val="Fotnotetekst Tegn"/>
    <w:basedOn w:val="Standardskriftforavsnitt"/>
    <w:link w:val="Fotnoteteks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BunntekstTegn">
    <w:name w:val="Bunntekst Tegn"/>
    <w:basedOn w:val="Standardskriftforavsnitt"/>
    <w:link w:val="Bunntekst"/>
    <w:rsid w:val="0047467F"/>
    <w:rPr>
      <w:rFonts w:ascii="Verdana" w:hAnsi="Verdana"/>
      <w:sz w:val="24"/>
      <w:szCs w:val="24"/>
      <w:lang w:val="en-GB"/>
    </w:rPr>
  </w:style>
  <w:style w:type="character" w:customStyle="1" w:styleId="Overskrift1Tegn">
    <w:name w:val="Overskrift 1 Tegn"/>
    <w:basedOn w:val="Standardskriftforavsnitt"/>
    <w:link w:val="Overskrift1"/>
    <w:rsid w:val="00001320"/>
    <w:rPr>
      <w:rFonts w:ascii="Verdana" w:hAnsi="Verdana"/>
      <w:b/>
      <w:bCs/>
      <w:kern w:val="32"/>
      <w:sz w:val="28"/>
      <w:szCs w:val="32"/>
      <w:lang w:val="en-GB" w:eastAsia="en-US"/>
    </w:rPr>
  </w:style>
  <w:style w:type="character" w:customStyle="1" w:styleId="Overskrift3Tegn">
    <w:name w:val="Overskrift 3 Tegn"/>
    <w:basedOn w:val="Standardskriftforavsnitt"/>
    <w:link w:val="Overskrift3"/>
    <w:rsid w:val="00946375"/>
    <w:rPr>
      <w:rFonts w:ascii="Verdana" w:hAnsi="Verdana"/>
      <w:b/>
      <w:bCs/>
      <w:sz w:val="22"/>
      <w:szCs w:val="26"/>
      <w:lang w:val="en-GB" w:eastAsia="en-US"/>
    </w:rPr>
  </w:style>
  <w:style w:type="character" w:customStyle="1" w:styleId="Overskrift4Tegn">
    <w:name w:val="Overskrift 4 Tegn"/>
    <w:basedOn w:val="Standardskriftforavsnitt"/>
    <w:link w:val="Overskrift4"/>
    <w:rsid w:val="00001320"/>
    <w:rPr>
      <w:rFonts w:ascii="Cambria" w:hAnsi="Cambria"/>
      <w:b/>
      <w:bCs/>
      <w:sz w:val="28"/>
      <w:szCs w:val="28"/>
      <w:lang w:val="en-GB" w:eastAsia="en-US"/>
    </w:rPr>
  </w:style>
  <w:style w:type="character" w:customStyle="1" w:styleId="Overskrift5Tegn">
    <w:name w:val="Overskrift 5 Tegn"/>
    <w:basedOn w:val="Standardskriftforavsnitt"/>
    <w:link w:val="Overskrift5"/>
    <w:rsid w:val="00001320"/>
    <w:rPr>
      <w:rFonts w:ascii="Cambria" w:hAnsi="Cambria"/>
      <w:b/>
      <w:bCs/>
      <w:i/>
      <w:iCs/>
      <w:sz w:val="26"/>
      <w:szCs w:val="26"/>
      <w:lang w:val="en-GB" w:eastAsia="en-US"/>
    </w:rPr>
  </w:style>
  <w:style w:type="character" w:customStyle="1" w:styleId="Overskrift6Tegn">
    <w:name w:val="Overskrift 6 Tegn"/>
    <w:basedOn w:val="Standardskriftforavsnitt"/>
    <w:link w:val="Overskrift6"/>
    <w:rsid w:val="00001320"/>
    <w:rPr>
      <w:rFonts w:ascii="Cambria" w:hAnsi="Cambria"/>
      <w:b/>
      <w:bCs/>
      <w:sz w:val="20"/>
      <w:szCs w:val="22"/>
      <w:lang w:val="en-GB" w:eastAsia="en-US"/>
    </w:rPr>
  </w:style>
  <w:style w:type="character" w:customStyle="1" w:styleId="Overskrift7Tegn">
    <w:name w:val="Overskrift 7 Tegn"/>
    <w:basedOn w:val="Standardskriftforavsnitt"/>
    <w:link w:val="Overskrift7"/>
    <w:rsid w:val="00001320"/>
    <w:rPr>
      <w:rFonts w:ascii="Cambria" w:hAnsi="Cambria"/>
      <w:lang w:val="en-GB" w:eastAsia="en-US"/>
    </w:rPr>
  </w:style>
  <w:style w:type="character" w:customStyle="1" w:styleId="Overskrift8Tegn">
    <w:name w:val="Overskrift 8 Tegn"/>
    <w:basedOn w:val="Standardskriftforavsnitt"/>
    <w:link w:val="Overskrift8"/>
    <w:rsid w:val="00001320"/>
    <w:rPr>
      <w:rFonts w:ascii="Cambria" w:hAnsi="Cambria"/>
      <w:i/>
      <w:iCs/>
      <w:lang w:val="en-GB" w:eastAsia="en-US"/>
    </w:rPr>
  </w:style>
  <w:style w:type="character" w:customStyle="1" w:styleId="Overskrift9Tegn">
    <w:name w:val="Overskrift 9 Tegn"/>
    <w:basedOn w:val="Standardskriftforavsnitt"/>
    <w:link w:val="Overskrift9"/>
    <w:rsid w:val="00001320"/>
    <w:rPr>
      <w:rFonts w:ascii="Calibri" w:hAnsi="Calibri"/>
      <w:sz w:val="20"/>
      <w:szCs w:val="22"/>
      <w:lang w:val="en-GB" w:eastAsia="en-US"/>
    </w:rPr>
  </w:style>
  <w:style w:type="paragraph" w:styleId="Listeavsnitt">
    <w:name w:val="List Paragraph"/>
    <w:basedOn w:val="Normal"/>
    <w:qFormat/>
    <w:rsid w:val="00B969F0"/>
    <w:pPr>
      <w:ind w:left="720"/>
      <w:contextualSpacing/>
    </w:pPr>
  </w:style>
  <w:style w:type="character" w:styleId="Merknadsreferanse">
    <w:name w:val="annotation reference"/>
    <w:basedOn w:val="Standardskriftforavsnitt"/>
    <w:rsid w:val="004933BE"/>
    <w:rPr>
      <w:sz w:val="16"/>
      <w:szCs w:val="16"/>
    </w:rPr>
  </w:style>
  <w:style w:type="paragraph" w:styleId="Merknadstekst">
    <w:name w:val="annotation text"/>
    <w:basedOn w:val="Normal"/>
    <w:link w:val="MerknadstekstTegn"/>
    <w:rsid w:val="004933BE"/>
    <w:pPr>
      <w:spacing w:line="240" w:lineRule="auto"/>
    </w:pPr>
    <w:rPr>
      <w:szCs w:val="20"/>
    </w:rPr>
  </w:style>
  <w:style w:type="character" w:customStyle="1" w:styleId="MerknadstekstTegn">
    <w:name w:val="Merknadstekst Tegn"/>
    <w:basedOn w:val="Standardskriftforavsnitt"/>
    <w:link w:val="Merknadstekst"/>
    <w:rsid w:val="004933BE"/>
    <w:rPr>
      <w:rFonts w:ascii="Verdana" w:hAnsi="Verdana"/>
      <w:sz w:val="20"/>
      <w:szCs w:val="20"/>
      <w:lang w:val="en-GB" w:eastAsia="en-US"/>
    </w:rPr>
  </w:style>
  <w:style w:type="paragraph" w:styleId="Kommentaremne">
    <w:name w:val="annotation subject"/>
    <w:basedOn w:val="Merknadstekst"/>
    <w:next w:val="Merknadstekst"/>
    <w:link w:val="KommentaremneTegn"/>
    <w:rsid w:val="004933BE"/>
    <w:rPr>
      <w:b/>
      <w:bCs/>
    </w:rPr>
  </w:style>
  <w:style w:type="character" w:customStyle="1" w:styleId="KommentaremneTegn">
    <w:name w:val="Kommentaremne Tegn"/>
    <w:basedOn w:val="MerknadstekstTegn"/>
    <w:link w:val="Kommentare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ildetekst">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jon">
    <w:name w:val="Revision"/>
    <w:hidden/>
    <w:rsid w:val="00086387"/>
    <w:rPr>
      <w:rFonts w:ascii="Verdana" w:hAnsi="Verdana"/>
      <w:sz w:val="20"/>
      <w:lang w:val="en-GB" w:eastAsia="en-US"/>
    </w:rPr>
  </w:style>
  <w:style w:type="character" w:styleId="Fulgthyperkobling">
    <w:name w:val="FollowedHyperlink"/>
    <w:basedOn w:val="Standardskriftforavsnitt"/>
    <w:rsid w:val="00A02FD6"/>
    <w:rPr>
      <w:color w:val="800080" w:themeColor="followedHyperlink"/>
      <w:u w:val="single"/>
    </w:rPr>
  </w:style>
  <w:style w:type="character" w:customStyle="1" w:styleId="apple-converted-space">
    <w:name w:val="apple-converted-space"/>
    <w:basedOn w:val="Standardskriftforavsnitt"/>
    <w:rsid w:val="00654361"/>
  </w:style>
  <w:style w:type="character" w:customStyle="1" w:styleId="hps">
    <w:name w:val="hps"/>
    <w:basedOn w:val="Standardskriftforavsnit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481821001">
      <w:bodyDiv w:val="1"/>
      <w:marLeft w:val="0"/>
      <w:marRight w:val="0"/>
      <w:marTop w:val="0"/>
      <w:marBottom w:val="0"/>
      <w:divBdr>
        <w:top w:val="none" w:sz="0" w:space="0" w:color="auto"/>
        <w:left w:val="none" w:sz="0" w:space="0" w:color="auto"/>
        <w:bottom w:val="none" w:sz="0" w:space="0" w:color="auto"/>
        <w:right w:val="none" w:sz="0" w:space="0" w:color="auto"/>
      </w:divBdr>
    </w:div>
    <w:div w:id="564485928">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2CA4BA4B-86D3-4269-90BB-AFA782D3B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3137</Words>
  <Characters>16632</Characters>
  <Application>Microsoft Office Word</Application>
  <DocSecurity>4</DocSecurity>
  <Lines>138</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19730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Testbruker</cp:lastModifiedBy>
  <cp:revision>2</cp:revision>
  <cp:lastPrinted>2012-10-25T08:55:00Z</cp:lastPrinted>
  <dcterms:created xsi:type="dcterms:W3CDTF">2013-02-28T09:09:00Z</dcterms:created>
  <dcterms:modified xsi:type="dcterms:W3CDTF">2013-02-28T09:09:00Z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