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C22083" w:rsidRDefault="00B863CA" w:rsidP="008F09C6">
      <w:pPr>
        <w:spacing w:line="240" w:lineRule="auto"/>
        <w:ind w:left="-851"/>
        <w:jc w:val="center"/>
        <w:rPr>
          <w:rFonts w:ascii="Arial" w:hAnsi="Arial" w:cs="Arial"/>
          <w:sz w:val="40"/>
          <w:szCs w:val="40"/>
          <w:lang w:val="en-US"/>
        </w:rPr>
      </w:pPr>
      <w:r w:rsidRPr="00C22083">
        <w:rPr>
          <w:rFonts w:ascii="Arial" w:hAnsi="Arial" w:cs="Arial"/>
          <w:sz w:val="40"/>
          <w:szCs w:val="40"/>
          <w:lang w:val="en-US"/>
        </w:rPr>
        <w:t>Baltic Sea</w:t>
      </w:r>
    </w:p>
    <w:p w:rsidR="005070C8" w:rsidRDefault="00EF4F49" w:rsidP="00337519">
      <w:pPr>
        <w:spacing w:after="0" w:line="240" w:lineRule="auto"/>
        <w:ind w:left="-851"/>
        <w:jc w:val="center"/>
        <w:rPr>
          <w:rFonts w:ascii="Arial" w:hAnsi="Arial" w:cs="Arial"/>
          <w:sz w:val="32"/>
          <w:szCs w:val="32"/>
          <w:lang w:val="en-US"/>
        </w:rPr>
      </w:pPr>
      <w:r>
        <w:rPr>
          <w:rFonts w:ascii="Arial" w:hAnsi="Arial" w:cs="Arial"/>
          <w:noProof/>
          <w:sz w:val="32"/>
          <w:szCs w:val="32"/>
          <w:lang w:val="nb-NO" w:eastAsia="nb-NO"/>
        </w:rPr>
        <w:drawing>
          <wp:inline distT="0" distB="0" distL="0" distR="0">
            <wp:extent cx="3157855" cy="5347970"/>
            <wp:effectExtent l="19050" t="0" r="4445"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57855" cy="5347970"/>
                    </a:xfrm>
                    <a:prstGeom prst="rect">
                      <a:avLst/>
                    </a:prstGeom>
                    <a:noFill/>
                    <a:ln w="9525">
                      <a:noFill/>
                      <a:miter lim="800000"/>
                      <a:headEnd/>
                      <a:tailEnd/>
                    </a:ln>
                  </pic:spPr>
                </pic:pic>
              </a:graphicData>
            </a:graphic>
          </wp:inline>
        </w:drawing>
      </w:r>
    </w:p>
    <w:p w:rsidR="00BC65E1" w:rsidRPr="008F09C6" w:rsidRDefault="00BC65E1" w:rsidP="00337519">
      <w:pPr>
        <w:spacing w:after="0" w:line="240" w:lineRule="auto"/>
        <w:ind w:left="-851"/>
        <w:rPr>
          <w:rFonts w:ascii="Arial" w:hAnsi="Arial" w:cs="Arial"/>
          <w:sz w:val="16"/>
          <w:szCs w:val="16"/>
          <w:lang w:val="en-US"/>
        </w:rPr>
      </w:pPr>
    </w:p>
    <w:p w:rsidR="00C22083" w:rsidRDefault="00C22083" w:rsidP="00C22083">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C22083" w:rsidRDefault="00C22083" w:rsidP="00C22083">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8F09C6">
      <w:pPr>
        <w:spacing w:after="0" w:line="240" w:lineRule="auto"/>
        <w:ind w:left="-851"/>
        <w:jc w:val="center"/>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Overskrift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782202" w:rsidRPr="0085195F" w:rsidRDefault="0037764A" w:rsidP="00782202">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782202">
        <w:t>This</w:t>
      </w:r>
      <w:r w:rsidR="00782202" w:rsidRPr="0085195F">
        <w:t xml:space="preserve"> is intended as an electronic publication so map quality is generally high to allow users to zoom into specific territories.</w:t>
      </w:r>
    </w:p>
    <w:p w:rsidR="0037764A" w:rsidRDefault="00782202" w:rsidP="00782202">
      <w:pPr>
        <w:shd w:val="clear" w:color="auto" w:fill="FFFFFF"/>
      </w:pPr>
      <w:r w:rsidRPr="0085195F">
        <w:t>This factsheet does not necessarily reflect the opinion of the ESPON Monitoring Committee.</w:t>
      </w:r>
    </w:p>
    <w:p w:rsidR="0037764A" w:rsidRDefault="0037764A" w:rsidP="0037764A">
      <w:pPr>
        <w:pStyle w:val="Overskrift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F4155E">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FD1C81" w:rsidRDefault="00FD1C81" w:rsidP="00FD1C81">
      <w:r>
        <w:t>In the following the traffic light for each indicator represents how your programme territory compares to wider European medians where green = your programme area performs better for that indicator, yel</w:t>
      </w:r>
      <w:r w:rsidR="00782202">
        <w:t>low = similar, and red = worse.</w:t>
      </w:r>
    </w:p>
    <w:p w:rsidR="00064E27" w:rsidRPr="001A1861" w:rsidRDefault="00064E27" w:rsidP="00064E27">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064E27" w:rsidRDefault="00064E27" w:rsidP="00064E27">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064E27" w:rsidRDefault="00064E27">
      <w:pPr>
        <w:spacing w:after="0" w:line="240" w:lineRule="auto"/>
        <w:jc w:val="left"/>
        <w:rPr>
          <w:lang w:val="en-US"/>
        </w:rPr>
      </w:pPr>
      <w:r>
        <w:rPr>
          <w:lang w:val="en-US"/>
        </w:rPr>
        <w:br w:type="page"/>
      </w:r>
    </w:p>
    <w:p w:rsidR="00337872" w:rsidRDefault="00E43562" w:rsidP="00337872">
      <w:pPr>
        <w:pStyle w:val="Overskrift3"/>
      </w:pPr>
      <w:r w:rsidRPr="00A6569B">
        <w:t xml:space="preserve">Smart, Sustainable and Inclusive </w:t>
      </w:r>
      <w:r w:rsidR="00337872" w:rsidRPr="00A6569B">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t>. In the framework of the E</w:t>
      </w:r>
      <w:r w:rsidR="00C14261">
        <w:t>urope</w:t>
      </w:r>
      <w:r>
        <w:t xml:space="preserve"> 2020 Strategy it means focus on competitiveness, resource efficiency, climate change and biodiversity.</w:t>
      </w:r>
    </w:p>
    <w:p w:rsidR="00E43562" w:rsidRDefault="00E43562" w:rsidP="00E4356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054E1F" w:rsidRDefault="00054E1F" w:rsidP="00E43562">
      <w:r>
        <w:rPr>
          <w:noProof/>
          <w:lang w:val="nb-NO" w:eastAsia="nb-NO"/>
        </w:rPr>
        <w:drawing>
          <wp:anchor distT="0" distB="0" distL="114300" distR="114300" simplePos="0" relativeHeight="251686400" behindDoc="1" locked="0" layoutInCell="1" allowOverlap="1">
            <wp:simplePos x="0" y="0"/>
            <wp:positionH relativeFrom="column">
              <wp:posOffset>15240</wp:posOffset>
            </wp:positionH>
            <wp:positionV relativeFrom="paragraph">
              <wp:posOffset>13335</wp:posOffset>
            </wp:positionV>
            <wp:extent cx="5273675" cy="3380740"/>
            <wp:effectExtent l="19050" t="0" r="3175" b="0"/>
            <wp:wrapTight wrapText="bothSides">
              <wp:wrapPolygon edited="0">
                <wp:start x="-78" y="122"/>
                <wp:lineTo x="-78" y="20813"/>
                <wp:lineTo x="21613" y="20813"/>
                <wp:lineTo x="21613" y="122"/>
                <wp:lineTo x="-78" y="122"/>
              </wp:wrapPolygon>
            </wp:wrapTight>
            <wp:docPr id="3" name="Bild 1" descr="C:\Dokumente und Einstellungen\pucher\Desktop\TL_TNC\TrafficLights_TNC_v3_Baltic_S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Baltic_Sea1.png"/>
                    <pic:cNvPicPr>
                      <a:picLocks noChangeAspect="1" noChangeArrowheads="1"/>
                    </pic:cNvPicPr>
                  </pic:nvPicPr>
                  <pic:blipFill>
                    <a:blip r:embed="rId15" cstate="print"/>
                    <a:srcRect/>
                    <a:stretch>
                      <a:fillRect/>
                    </a:stretch>
                  </pic:blipFill>
                  <pic:spPr bwMode="auto">
                    <a:xfrm>
                      <a:off x="0" y="0"/>
                      <a:ext cx="5273675" cy="3380740"/>
                    </a:xfrm>
                    <a:prstGeom prst="rect">
                      <a:avLst/>
                    </a:prstGeom>
                    <a:noFill/>
                    <a:ln w="9525">
                      <a:noFill/>
                      <a:miter lim="800000"/>
                      <a:headEnd/>
                      <a:tailEnd/>
                    </a:ln>
                  </pic:spPr>
                </pic:pic>
              </a:graphicData>
            </a:graphic>
          </wp:anchor>
        </w:drawing>
      </w:r>
    </w:p>
    <w:p w:rsidR="007C0EFF" w:rsidRPr="00B6761B" w:rsidRDefault="00B6761B" w:rsidP="007C0EFF">
      <w:pPr>
        <w:spacing w:line="240" w:lineRule="atLeast"/>
      </w:pPr>
      <w:r w:rsidRPr="00B6761B">
        <w:t xml:space="preserve">The </w:t>
      </w:r>
      <w:r w:rsidR="007C0EFF">
        <w:rPr>
          <w:b/>
        </w:rPr>
        <w:t>s</w:t>
      </w:r>
      <w:r w:rsidRPr="007C0EFF">
        <w:rPr>
          <w:b/>
        </w:rPr>
        <w:t>mart growth</w:t>
      </w:r>
      <w:r w:rsidRPr="00B6761B">
        <w:t xml:space="preserve"> </w:t>
      </w:r>
      <w:r>
        <w:t xml:space="preserve">indicators on ‘R&amp;D expenditure’ </w:t>
      </w:r>
      <w:r w:rsidR="00284372">
        <w:t xml:space="preserve">and ‘employment in knowledge-intensive services’ are similar in the </w:t>
      </w:r>
      <w:r w:rsidR="00977913">
        <w:t xml:space="preserve">Baltic Sea </w:t>
      </w:r>
      <w:r w:rsidR="00284372">
        <w:t xml:space="preserve">TNC area and the EU27+4. </w:t>
      </w:r>
      <w:r w:rsidR="007C0EFF">
        <w:t xml:space="preserve">Looking at the traffic lights, the TNC area however has a higher amount of individuals regularly using the internet than the EU27+4 median. </w:t>
      </w:r>
    </w:p>
    <w:p w:rsidR="007C0EFF" w:rsidRDefault="00284372" w:rsidP="00E43562">
      <w:pPr>
        <w:spacing w:line="240" w:lineRule="atLeast"/>
      </w:pPr>
      <w:r>
        <w:t xml:space="preserve">Map 1 shows high disparities within the region with regards to innovation. </w:t>
      </w:r>
      <w:r w:rsidR="00DB605B">
        <w:t xml:space="preserve">In fact, the German parts as well as the Swedish and </w:t>
      </w:r>
      <w:r w:rsidR="007C0EFF">
        <w:t xml:space="preserve">Finnish areas (especially in the north) are qualified as ‘smart technological application areas’ and ‘applied science areas’. The area even includes some of the few ‘European science-based areas’. On the other hand, the Eastern European and Baltic parts of the TNC area are qualified as areas with lower innovation intensity. </w:t>
      </w:r>
    </w:p>
    <w:p w:rsidR="00C5462E" w:rsidRDefault="00A76129" w:rsidP="00E43562">
      <w:pPr>
        <w:spacing w:line="240" w:lineRule="atLeast"/>
      </w:pPr>
      <w:r>
        <w:t xml:space="preserve">The </w:t>
      </w:r>
      <w:r w:rsidR="00977913">
        <w:t>Baltic Sea cooperation</w:t>
      </w:r>
      <w:r>
        <w:t xml:space="preserve"> area’s </w:t>
      </w:r>
      <w:r w:rsidRPr="00A76129">
        <w:rPr>
          <w:b/>
        </w:rPr>
        <w:t>sustainable growth</w:t>
      </w:r>
      <w:r>
        <w:t xml:space="preserve"> indicators ‘wind energy potential’, ‘ozone concentration’ and ‘potential vulnerability to climate change’ </w:t>
      </w:r>
      <w:r w:rsidR="00AF5316">
        <w:t>all show</w:t>
      </w:r>
      <w:r>
        <w:t xml:space="preserve"> more positive values than </w:t>
      </w:r>
      <w:r w:rsidR="00AF5316">
        <w:t xml:space="preserve">for </w:t>
      </w:r>
      <w:r>
        <w:t>the EU27+4.</w:t>
      </w:r>
      <w:r w:rsidR="00AF5316">
        <w:t xml:space="preserve"> However, the disparities within the TNC area are high for all three indicators. This can also be seen from Map 3 which shows that the Scandinavian countries and Germany have a higher capacity to adapt to climate change than the Eastern European and Baltic parts of the TNC area.</w:t>
      </w:r>
    </w:p>
    <w:p w:rsidR="00AF5316" w:rsidRPr="00B6761B" w:rsidRDefault="00AF5316" w:rsidP="00E43562">
      <w:pPr>
        <w:spacing w:line="240" w:lineRule="atLeast"/>
      </w:pPr>
      <w:r w:rsidRPr="00AF5316">
        <w:t xml:space="preserve">The Directive on the promotion of clean and energy-efficient road transport vehicles </w:t>
      </w:r>
      <w:r>
        <w:t xml:space="preserve">has no impact at all </w:t>
      </w:r>
      <w:r w:rsidRPr="00AF5316">
        <w:t xml:space="preserve">on the fossil fuel consumption </w:t>
      </w:r>
      <w:r>
        <w:t>in most parts of the</w:t>
      </w:r>
      <w:r w:rsidRPr="00AF5316">
        <w:t xml:space="preserve"> </w:t>
      </w:r>
      <w:r w:rsidR="00977913">
        <w:t xml:space="preserve">Baltic Sea </w:t>
      </w:r>
      <w:r>
        <w:t xml:space="preserve">TNC area, with the exception of some regions in Poland and Latvia which experience a minor impact. </w:t>
      </w:r>
    </w:p>
    <w:p w:rsidR="00E43562" w:rsidRPr="00B6761B" w:rsidRDefault="00F26225" w:rsidP="00E43562">
      <w:pPr>
        <w:rPr>
          <w:lang w:val="en-US"/>
        </w:rPr>
      </w:pPr>
      <w:r>
        <w:rPr>
          <w:szCs w:val="20"/>
          <w:lang w:val="en-US"/>
        </w:rPr>
        <w:t xml:space="preserve">The </w:t>
      </w:r>
      <w:r w:rsidRPr="00E23DF3">
        <w:rPr>
          <w:b/>
          <w:szCs w:val="20"/>
          <w:lang w:val="en-US"/>
        </w:rPr>
        <w:t>inclusive growth</w:t>
      </w:r>
      <w:r>
        <w:rPr>
          <w:szCs w:val="20"/>
          <w:lang w:val="en-US"/>
        </w:rPr>
        <w:t xml:space="preserve"> indictor of ‘persons aged 25-64 and 20-24 with upper secondary or tertiary education attainment’</w:t>
      </w:r>
      <w:r w:rsidR="00E23DF3">
        <w:rPr>
          <w:szCs w:val="20"/>
          <w:lang w:val="en-US"/>
        </w:rPr>
        <w:t xml:space="preserve"> i</w:t>
      </w:r>
      <w:r w:rsidR="00977913">
        <w:rPr>
          <w:szCs w:val="20"/>
          <w:lang w:val="en-US"/>
        </w:rPr>
        <w:t>s more positive in the Baltic Sea TNC area</w:t>
      </w:r>
      <w:r w:rsidR="00E23DF3">
        <w:rPr>
          <w:szCs w:val="20"/>
          <w:lang w:val="en-US"/>
        </w:rPr>
        <w:t xml:space="preserve"> than the EU27+4. The at-risk-of-poverty and the long-term unemployment rates of the TNC area are comparable to those in the EU27+4 in total. The diversity within the TNC area with </w:t>
      </w:r>
      <w:r w:rsidR="00977913">
        <w:rPr>
          <w:szCs w:val="20"/>
          <w:lang w:val="en-US"/>
        </w:rPr>
        <w:t>regards</w:t>
      </w:r>
      <w:r w:rsidR="00E23DF3">
        <w:rPr>
          <w:szCs w:val="20"/>
          <w:lang w:val="en-US"/>
        </w:rPr>
        <w:t xml:space="preserve"> to the employment rate is high, however. In fact, Map 3 shows that the employment rate in the Scandinavian countries and Germany is high. The employment rate in the Baltic and Central and Eastern European parts is however lower. The employment rate in Latvia, Lithuania and most parts of Poland amount to only around and under 60%.</w:t>
      </w:r>
    </w:p>
    <w:p w:rsidR="00E43562" w:rsidRPr="00B6761B" w:rsidRDefault="0093373B" w:rsidP="00B274EC">
      <w:pPr>
        <w:spacing w:after="0" w:line="240" w:lineRule="auto"/>
        <w:rPr>
          <w:lang w:val="en-US"/>
        </w:rPr>
      </w:pPr>
      <w:r>
        <w:rPr>
          <w:lang w:val="en-US"/>
        </w:rPr>
        <w:t>All</w:t>
      </w:r>
      <w:r w:rsidR="00EE755E">
        <w:rPr>
          <w:lang w:val="en-US"/>
        </w:rPr>
        <w:t xml:space="preserve"> fou</w:t>
      </w:r>
      <w:r>
        <w:rPr>
          <w:lang w:val="en-US"/>
        </w:rPr>
        <w:t>r</w:t>
      </w:r>
      <w:r w:rsidR="00EE755E">
        <w:rPr>
          <w:lang w:val="en-US"/>
        </w:rPr>
        <w:t xml:space="preserve"> DEMIFER sc</w:t>
      </w:r>
      <w:r>
        <w:rPr>
          <w:lang w:val="en-US"/>
        </w:rPr>
        <w:t>en</w:t>
      </w:r>
      <w:r w:rsidR="00EE755E">
        <w:rPr>
          <w:lang w:val="en-US"/>
        </w:rPr>
        <w:t xml:space="preserve">arios predict </w:t>
      </w:r>
      <w:r>
        <w:rPr>
          <w:lang w:val="en-US"/>
        </w:rPr>
        <w:t xml:space="preserve">a rather negative picture for almost the entire </w:t>
      </w:r>
      <w:r w:rsidR="00977913">
        <w:rPr>
          <w:lang w:val="en-US"/>
        </w:rPr>
        <w:t xml:space="preserve">Baltic Sea </w:t>
      </w:r>
      <w:r>
        <w:rPr>
          <w:lang w:val="en-US"/>
        </w:rPr>
        <w:t xml:space="preserve">TNC area, except of the scenario ‘expanding market Europe’ in which case the change in labour force has a positive outcome in the Scandinavian countries. In the scenario ‘growing social Europe’ the values are positive for the south of Sweden, Norway and Finland and the central part of Poland. </w:t>
      </w:r>
      <w:r w:rsidR="00E43562" w:rsidRPr="00B6761B">
        <w:rPr>
          <w:lang w:val="en-US"/>
        </w:rPr>
        <w:br w:type="page"/>
      </w:r>
    </w:p>
    <w:p w:rsidR="008A3B96" w:rsidRPr="004E39BD" w:rsidRDefault="00337872" w:rsidP="008A3B96">
      <w:pPr>
        <w:rPr>
          <w:b/>
        </w:rPr>
      </w:pPr>
      <w:r w:rsidRPr="004E39BD">
        <w:rPr>
          <w:b/>
        </w:rPr>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D339F7">
        <w:rPr>
          <w:b/>
        </w:rPr>
        <w:t>Baltic S</w:t>
      </w:r>
      <w:r w:rsidR="006166FD">
        <w:rPr>
          <w:b/>
        </w:rPr>
        <w:t>e</w:t>
      </w:r>
      <w:r w:rsidR="00D339F7">
        <w:rPr>
          <w:b/>
        </w:rPr>
        <w:t>a</w:t>
      </w:r>
    </w:p>
    <w:p w:rsidR="008A3B96" w:rsidRDefault="00546069" w:rsidP="008A3B96">
      <w:r w:rsidRPr="00546069">
        <w:rPr>
          <w:noProof/>
          <w:lang w:val="de-DE" w:eastAsia="de-DE"/>
        </w:rPr>
        <w:pict>
          <v:shape id="_x0000_s1029" style="position:absolute;left:0;text-align:left;margin-left:153.55pt;margin-top:7pt;width:175.25pt;height:262.75pt;z-index:251676160" coordsize="3505,5255" path="m,2434c57,2143,537,1820,666,1596v129,-224,45,-371,108,-505c837,957,970,885,1042,790v72,-95,101,-221,162,-269c1265,473,1336,538,1408,500v72,-38,53,-184,225,-205c1805,274,2240,353,2439,371v199,18,226,10,387,32c2987,425,3309,,3407,500v98,500,14,2272,10,2901c3413,4030,3498,4106,3385,4272v-113,166,-502,100,-645,128c2597,4428,2551,4399,2525,4443v-26,44,57,139,57,223c2582,4750,2546,4860,2523,4950v-23,91,-9,218,-75,262c2382,5255,2191,5214,2128,5212v-64,-3,-17,-11,-61,-15c2024,5192,1937,5194,1866,5181v-70,-12,-142,-34,-224,-59c1560,5097,1473,5063,1374,5032v-99,-31,-246,-54,-329,-97c962,4893,928,4822,874,4779v-54,-44,-87,-82,-150,-105c661,4650,570,4677,493,4636,415,4596,300,4506,262,4428v-39,-79,8,-125,,-262c254,4029,248,3741,215,3605,182,3469,101,3542,65,3347,29,3152,14,2624,,2434xe" filled="f" strokecolor="#0070c0" strokeweight="2pt">
            <v:path arrowok="t"/>
          </v:shape>
        </w:pict>
      </w:r>
    </w:p>
    <w:p w:rsidR="008A3B96" w:rsidRDefault="00B5300E" w:rsidP="008A3B96">
      <w:pPr>
        <w:spacing w:after="0" w:line="240" w:lineRule="auto"/>
      </w:pPr>
      <w:r>
        <w:rPr>
          <w:noProof/>
          <w:lang w:val="nb-NO" w:eastAsia="nb-NO"/>
        </w:rPr>
        <w:drawing>
          <wp:inline distT="0" distB="0" distL="0" distR="0">
            <wp:extent cx="5278755" cy="6284584"/>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D339F7">
        <w:rPr>
          <w:b/>
        </w:rPr>
        <w:t>Baltic Sea</w:t>
      </w:r>
    </w:p>
    <w:p w:rsidR="00D26713" w:rsidRDefault="00546069" w:rsidP="00D26713">
      <w:pPr>
        <w:spacing w:after="0" w:line="240" w:lineRule="auto"/>
        <w:rPr>
          <w:noProof/>
          <w:lang w:eastAsia="en-GB"/>
        </w:rPr>
      </w:pPr>
      <w:r w:rsidRPr="00546069">
        <w:rPr>
          <w:noProof/>
          <w:lang w:val="de-DE" w:eastAsia="de-DE"/>
        </w:rPr>
        <w:pict>
          <v:shape id="_x0000_s1040" style="position:absolute;left:0;text-align:left;margin-left:183.15pt;margin-top:9.2pt;width:147.2pt;height:237.8pt;z-index:251688448" coordsize="2944,4756" path="m,2216c48,1951,451,1657,559,1453v109,-204,38,-338,91,-460c703,871,815,806,875,719v61,-86,85,-201,136,-245c1063,431,1122,490,1183,455v60,-34,44,-167,189,-186c1516,249,1881,321,2049,338v167,16,189,9,325,29c2509,387,2779,,2862,455v82,455,11,2069,8,2641c2867,3669,2938,3757,2843,3889v-95,132,-427,-5,-544,2c2182,3898,2168,3864,2138,3934v-30,70,-2,287,-22,376c2096,4399,2039,4412,2019,4471v-20,59,18,148,-21,194c1959,4711,1831,4734,1787,4745v-44,11,-14,-10,-51,-14c1700,4727,1627,4728,1567,4717v-58,-11,-119,-31,-188,-54c1310,4640,1237,4609,1154,4581v-83,-28,-207,-49,-276,-88c808,4454,779,4390,734,4351v-45,-40,-73,-75,-126,-96c555,4233,479,4258,414,4220,349,4184,252,4102,220,4031v-33,-72,7,-114,,-238c213,3668,208,3406,181,3282,153,3158,85,3225,55,3047,24,2869,12,2389,,2216xe" filled="f" strokecolor="#0070c0" strokeweight="2pt">
            <v:path arrowok="t"/>
          </v:shape>
        </w:pict>
      </w:r>
    </w:p>
    <w:p w:rsidR="00D26713" w:rsidRDefault="00583620" w:rsidP="00D26713">
      <w:pPr>
        <w:spacing w:after="0" w:line="240" w:lineRule="auto"/>
        <w:rPr>
          <w:noProof/>
          <w:lang w:eastAsia="en-GB"/>
        </w:rPr>
      </w:pPr>
      <w:r>
        <w:rPr>
          <w:noProof/>
          <w:lang w:val="nb-NO" w:eastAsia="nb-NO"/>
        </w:rPr>
        <w:drawing>
          <wp:inline distT="0" distB="0" distL="0" distR="0">
            <wp:extent cx="5278755" cy="581562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D339F7">
        <w:rPr>
          <w:b/>
        </w:rPr>
        <w:t>Baltic Sea</w:t>
      </w:r>
    </w:p>
    <w:p w:rsidR="00064E27" w:rsidRPr="00021CAB" w:rsidRDefault="00064E27" w:rsidP="00064E27">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546069">
      <w:pPr>
        <w:spacing w:after="0" w:line="240" w:lineRule="auto"/>
        <w:jc w:val="left"/>
        <w:rPr>
          <w:noProof/>
          <w:lang w:eastAsia="en-GB"/>
        </w:rPr>
      </w:pPr>
      <w:r w:rsidRPr="00546069">
        <w:rPr>
          <w:i/>
          <w:noProof/>
          <w:lang w:val="de-DE" w:eastAsia="de-DE"/>
        </w:rPr>
        <w:pict>
          <v:shape id="_x0000_s1041" style="position:absolute;margin-left:171.35pt;margin-top:20.45pt;width:155.15pt;height:248.2pt;z-index:251689472" coordsize="3103,4964" path="m,2336c52,2062,486,1758,602,1547v117,-211,41,-350,98,-476c757,945,878,878,942,788v66,-89,92,-208,147,-254c1145,490,1208,551,1274,515v64,-35,47,-173,203,-193c1632,302,2025,376,2206,394v180,16,218,17,350,30c2688,437,2918,,2997,474v79,474,30,2185,32,2794c3031,3877,3103,3967,3008,4128v-95,161,-430,78,-548,107c2342,4264,2328,4255,2298,4300v-30,45,1,141,-20,203c2257,4565,2196,4608,2174,4669v-22,61,19,153,-23,201c2109,4917,1972,4941,1924,4953v-47,11,-15,-11,-55,-15c1831,4934,1752,4935,1687,4924v-62,-12,-128,-32,-202,-56c1411,4844,1332,4812,1243,4783v-90,-29,-223,-51,-298,-91c870,4652,839,4585,790,4545v-48,-41,-78,-78,-135,-99c598,4423,516,4449,446,4410,376,4372,271,4287,237,4214v-36,-74,7,-118,,-246c229,3838,224,3567,195,3439,165,3311,92,3380,59,3196,26,3012,13,2515,,2336xe" filled="f" strokecolor="#0070c0" strokeweight="2pt">
            <v:path arrowok="t"/>
          </v:shape>
        </w:pict>
      </w:r>
      <w:r w:rsidR="000A0127">
        <w:rPr>
          <w:noProof/>
          <w:lang w:val="nb-NO" w:eastAsia="nb-NO"/>
        </w:rPr>
        <w:drawing>
          <wp:inline distT="0" distB="0" distL="0" distR="0">
            <wp:extent cx="5278755" cy="6831330"/>
            <wp:effectExtent l="19050" t="0" r="0" b="0"/>
            <wp:docPr id="15" name="Grafik 13"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D339F7">
        <w:rPr>
          <w:b/>
        </w:rPr>
        <w:t>Baltic Sea</w:t>
      </w:r>
    </w:p>
    <w:p w:rsidR="0089569C" w:rsidRDefault="00546069" w:rsidP="0089569C">
      <w:pPr>
        <w:spacing w:after="0" w:line="240" w:lineRule="auto"/>
        <w:rPr>
          <w:noProof/>
          <w:lang w:eastAsia="en-GB"/>
        </w:rPr>
      </w:pPr>
      <w:r w:rsidRPr="00546069">
        <w:rPr>
          <w:noProof/>
          <w:lang w:val="de-DE" w:eastAsia="de-DE"/>
        </w:rPr>
        <w:pict>
          <v:shape id="_x0000_s1043" style="position:absolute;left:0;text-align:left;margin-left:285.25pt;margin-top:11.05pt;width:86.85pt;height:135.6pt;z-index:251691520" coordsize="3103,4964" path="m,2336c52,2062,486,1758,602,1547v117,-211,41,-350,98,-476c757,945,878,878,942,788v66,-89,92,-208,147,-254c1145,490,1208,551,1274,515v64,-35,47,-173,203,-193c1632,302,2025,376,2206,394v180,16,218,17,350,30c2688,437,2918,,2997,474v79,474,30,2185,32,2794c3031,3877,3103,3967,3008,4128v-95,161,-430,78,-548,107c2342,4264,2328,4255,2298,4300v-30,45,1,141,-20,203c2257,4565,2196,4608,2174,4669v-22,61,19,153,-23,201c2109,4917,1972,4941,1924,4953v-47,11,-15,-11,-55,-15c1831,4934,1752,4935,1687,4924v-62,-12,-128,-32,-202,-56c1411,4844,1332,4812,1243,4783v-90,-29,-223,-51,-298,-91c870,4652,839,4585,790,4545v-48,-41,-78,-78,-135,-99c598,4423,516,4449,446,4410,376,4372,271,4287,237,4214v-36,-74,7,-118,,-246c229,3838,224,3567,195,3439,165,3311,92,3380,59,3196,26,3012,13,2515,,2336xe" filled="f" strokecolor="#0070c0" strokeweight="2pt">
            <v:path arrowok="t"/>
          </v:shape>
        </w:pict>
      </w:r>
      <w:r w:rsidRPr="00546069">
        <w:rPr>
          <w:noProof/>
          <w:lang w:val="de-DE" w:eastAsia="de-DE"/>
        </w:rPr>
        <w:pict>
          <v:shape id="_x0000_s1042" style="position:absolute;left:0;text-align:left;margin-left:87.7pt;margin-top:11.05pt;width:86.85pt;height:135.6pt;z-index:251690496" coordsize="3103,4964" path="m,2336c52,2062,486,1758,602,1547v117,-211,41,-350,98,-476c757,945,878,878,942,788v66,-89,92,-208,147,-254c1145,490,1208,551,1274,515v64,-35,47,-173,203,-193c1632,302,2025,376,2206,394v180,16,218,17,350,30c2688,437,2918,,2997,474v79,474,30,2185,32,2794c3031,3877,3103,3967,3008,4128v-95,161,-430,78,-548,107c2342,4264,2328,4255,2298,4300v-30,45,1,141,-20,203c2257,4565,2196,4608,2174,4669v-22,61,19,153,-23,201c2109,4917,1972,4941,1924,4953v-47,11,-15,-11,-55,-15c1831,4934,1752,4935,1687,4924v-62,-12,-128,-32,-202,-56c1411,4844,1332,4812,1243,4783v-90,-29,-223,-51,-298,-91c870,4652,839,4585,790,4545v-48,-41,-78,-78,-135,-99c598,4423,516,4449,446,4410,376,4372,271,4287,237,4214v-36,-74,7,-118,,-246c229,3838,224,3567,195,3439,165,3311,92,3380,59,3196,26,3012,13,2515,,2336xe" filled="f" strokecolor="#0070c0" strokeweight="2pt">
            <v:path arrowok="t"/>
          </v:shape>
        </w:pict>
      </w:r>
    </w:p>
    <w:p w:rsidR="0089569C" w:rsidRDefault="00546069" w:rsidP="0089569C">
      <w:pPr>
        <w:spacing w:after="0" w:line="240" w:lineRule="auto"/>
        <w:rPr>
          <w:noProof/>
          <w:lang w:eastAsia="en-GB"/>
        </w:rPr>
      </w:pPr>
      <w:r w:rsidRPr="00546069">
        <w:rPr>
          <w:noProof/>
          <w:lang w:val="de-DE" w:eastAsia="de-DE"/>
        </w:rPr>
        <w:pict>
          <v:shape id="_x0000_s1045" style="position:absolute;left:0;text-align:left;margin-left:286.6pt;margin-top:202.6pt;width:86.85pt;height:135.6pt;z-index:251693568" coordsize="3103,4964" path="m,2336c52,2062,486,1758,602,1547v117,-211,41,-350,98,-476c757,945,878,878,942,788v66,-89,92,-208,147,-254c1145,490,1208,551,1274,515v64,-35,47,-173,203,-193c1632,302,2025,376,2206,394v180,16,218,17,350,30c2688,437,2918,,2997,474v79,474,30,2185,32,2794c3031,3877,3103,3967,3008,4128v-95,161,-430,78,-548,107c2342,4264,2328,4255,2298,4300v-30,45,1,141,-20,203c2257,4565,2196,4608,2174,4669v-22,61,19,153,-23,201c2109,4917,1972,4941,1924,4953v-47,11,-15,-11,-55,-15c1831,4934,1752,4935,1687,4924v-62,-12,-128,-32,-202,-56c1411,4844,1332,4812,1243,4783v-90,-29,-223,-51,-298,-91c870,4652,839,4585,790,4545v-48,-41,-78,-78,-135,-99c598,4423,516,4449,446,4410,376,4372,271,4287,237,4214v-36,-74,7,-118,,-246c229,3838,224,3567,195,3439,165,3311,92,3380,59,3196,26,3012,13,2515,,2336xe" filled="f" strokecolor="#0070c0" strokeweight="2pt">
            <v:path arrowok="t"/>
          </v:shape>
        </w:pict>
      </w:r>
      <w:r w:rsidRPr="00546069">
        <w:rPr>
          <w:noProof/>
          <w:lang w:val="de-DE" w:eastAsia="de-DE"/>
        </w:rPr>
        <w:pict>
          <v:shape id="_x0000_s1044" style="position:absolute;left:0;text-align:left;margin-left:87.7pt;margin-top:202.15pt;width:86.85pt;height:135.6pt;z-index:251692544" coordsize="3103,4964" path="m,2336c52,2062,486,1758,602,1547v117,-211,41,-350,98,-476c757,945,878,878,942,788v66,-89,92,-208,147,-254c1145,490,1208,551,1274,515v64,-35,47,-173,203,-193c1632,302,2025,376,2206,394v180,16,218,17,350,30c2688,437,2918,,2997,474v79,474,30,2185,32,2794c3031,3877,3103,3967,3008,4128v-95,161,-430,78,-548,107c2342,4264,2328,4255,2298,4300v-30,45,1,141,-20,203c2257,4565,2196,4608,2174,4669v-22,61,19,153,-23,201c2109,4917,1972,4941,1924,4953v-47,11,-15,-11,-55,-15c1831,4934,1752,4935,1687,4924v-62,-12,-128,-32,-202,-56c1411,4844,1332,4812,1243,4783v-90,-29,-223,-51,-298,-91c870,4652,839,4585,790,4545v-48,-41,-78,-78,-135,-99c598,4423,516,4449,446,4410,376,4372,271,4287,237,4214v-36,-74,7,-118,,-246c229,3838,224,3567,195,3439,165,3311,92,3380,59,3196,26,3012,13,2515,,2336xe" filled="f" strokecolor="#0070c0" strokeweight="2pt">
            <v:path arrowok="t"/>
          </v:shape>
        </w:pict>
      </w:r>
      <w:r w:rsidR="000A0127">
        <w:rPr>
          <w:noProof/>
          <w:lang w:val="nb-NO" w:eastAsia="nb-NO"/>
        </w:rPr>
        <w:drawing>
          <wp:inline distT="0" distB="0" distL="0" distR="0">
            <wp:extent cx="5278755" cy="6911340"/>
            <wp:effectExtent l="19050" t="0" r="0" b="0"/>
            <wp:docPr id="16" name="Grafik 15"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D339F7">
        <w:rPr>
          <w:b/>
        </w:rPr>
        <w:t>Baltic Sea</w:t>
      </w:r>
    </w:p>
    <w:p w:rsidR="006166FD" w:rsidRDefault="00546069" w:rsidP="00FD4E3A">
      <w:pPr>
        <w:spacing w:after="0" w:line="240" w:lineRule="auto"/>
        <w:jc w:val="left"/>
        <w:rPr>
          <w:noProof/>
          <w:lang w:eastAsia="en-GB"/>
        </w:rPr>
      </w:pPr>
      <w:r w:rsidRPr="00546069">
        <w:rPr>
          <w:noProof/>
          <w:lang w:val="de-DE" w:eastAsia="de-DE"/>
        </w:rPr>
        <w:pict>
          <v:shape id="_x0000_s1036" style="position:absolute;margin-left:124.4pt;margin-top:2.3pt;width:193.6pt;height:257.75pt;z-index:251683328;mso-position-horizontal-relative:text;mso-position-vertical-relative:text" coordsize="3872,5155" path="m,2774c35,2533,446,2222,565,2023v119,-199,63,-293,150,-442c802,1432,980,1235,1086,1131v106,-104,174,-124,265,-177c1442,901,1422,840,1634,813v212,-27,730,42,989,-18c2882,735,2997,510,3189,450,3381,390,3672,,3772,433v100,433,19,1950,18,2615c3789,3713,3860,4208,3763,4426v-97,218,-351,-89,-556,-71c3002,4373,2685,4507,2535,4532v-150,25,-199,-44,-230,-27c2274,4522,2360,4573,2347,4635v-13,62,-101,161,-121,241c2206,4956,2275,5075,2229,5115v-46,40,-227,2,-282,c1891,5112,1932,5106,1894,5102v-39,-5,-115,-3,-177,-14c1654,5077,1591,5057,1519,5036v-72,-22,-149,-52,-236,-79c1196,4930,1066,4909,993,4871,920,4834,890,4772,843,4734v-47,-39,-76,-72,-132,-93c655,4621,576,4644,508,4608,439,4572,338,4494,304,4425v-34,-69,1,-132,,-230c303,4096,326,3946,297,3833,268,3720,181,3692,132,3516,83,3340,27,2929,,2774xe" filled="f" strokecolor="#0070c0" strokeweight="2pt">
            <v:path arrowok="t"/>
          </v:shape>
        </w:pict>
      </w:r>
    </w:p>
    <w:p w:rsidR="006166FD" w:rsidRDefault="00D977F6" w:rsidP="00FD4E3A">
      <w:pPr>
        <w:spacing w:after="0" w:line="240" w:lineRule="auto"/>
        <w:jc w:val="left"/>
        <w:rPr>
          <w:noProof/>
          <w:lang w:eastAsia="en-GB"/>
        </w:rPr>
      </w:pPr>
      <w:r>
        <w:rPr>
          <w:noProof/>
          <w:lang w:val="nb-NO" w:eastAsia="nb-NO"/>
        </w:rPr>
        <w:drawing>
          <wp:anchor distT="0" distB="0" distL="114300" distR="114300" simplePos="0" relativeHeight="251687424" behindDoc="0" locked="0" layoutInCell="1" allowOverlap="1">
            <wp:simplePos x="0" y="0"/>
            <wp:positionH relativeFrom="column">
              <wp:posOffset>1344709</wp:posOffset>
            </wp:positionH>
            <wp:positionV relativeFrom="paragraph">
              <wp:posOffset>5143027</wp:posOffset>
            </wp:positionV>
            <wp:extent cx="916615" cy="414670"/>
            <wp:effectExtent l="19050" t="0" r="0" b="0"/>
            <wp:wrapNone/>
            <wp:docPr id="2"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615" cy="414670"/>
                    </a:xfrm>
                    <a:prstGeom prst="rect">
                      <a:avLst/>
                    </a:prstGeom>
                    <a:noFill/>
                    <a:ln w="9525">
                      <a:noFill/>
                      <a:miter lim="800000"/>
                      <a:headEnd/>
                      <a:tailEnd/>
                    </a:ln>
                  </pic:spPr>
                </pic:pic>
              </a:graphicData>
            </a:graphic>
          </wp:anchor>
        </w:drawing>
      </w:r>
      <w:r w:rsidR="000A0127">
        <w:rPr>
          <w:noProof/>
          <w:lang w:val="nb-NO" w:eastAsia="nb-NO"/>
        </w:rPr>
        <w:drawing>
          <wp:inline distT="0" distB="0" distL="0" distR="0">
            <wp:extent cx="5278755" cy="6141085"/>
            <wp:effectExtent l="19050" t="0" r="0" b="0"/>
            <wp:docPr id="17" name="Grafik 16"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A6569B" w:rsidRDefault="005761A6" w:rsidP="005761A6">
      <w:pPr>
        <w:pStyle w:val="Overskrift1"/>
      </w:pPr>
      <w:r w:rsidRPr="00A6569B">
        <w:t xml:space="preserve">Territorial factors of interest for the programme area </w:t>
      </w:r>
    </w:p>
    <w:p w:rsidR="00A6569B" w:rsidRDefault="00A6569B" w:rsidP="00A6569B">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A6569B" w:rsidRDefault="00A6569B" w:rsidP="00A6569B">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A6569B" w:rsidRDefault="00A6569B" w:rsidP="00A6569B">
      <w:r>
        <w:t xml:space="preserve">The Baltic Sea Region programme area comprises a number of European metropolitan areas such as Berlin, Copenhagen, Oslo, Stockholm, Helsinki, St. Petersburg, Tallinn, Riga, Vilnius and Warsaw and also a wide range of secondary growth poles. </w:t>
      </w:r>
    </w:p>
    <w:p w:rsidR="00A6569B" w:rsidRDefault="00A6569B" w:rsidP="00A6569B">
      <w:r>
        <w:t xml:space="preserve">Despite the large number of urban areas, most of the programme area is characterised as intermediate or rural areas – in a European perspective. In the south of the Baltic Sea the urban settlement patterns are denser and most intermediate and rural areas are considered as being in close proximity to a city. In the Nordic Countries and to some degree also in Estonia, Latvia and Lithuania the rural regions are often characterised as remote. The map illustrates the territorial differences within the programme area, basically showing a divide between the more densely populated areas and the more remote areas in the North.  </w:t>
      </w:r>
    </w:p>
    <w:p w:rsidR="00A6569B" w:rsidRDefault="00A6569B" w:rsidP="00A6569B">
      <w:r>
        <w:t>Whereas the metropolitan areas in particular Copenhagen, Hamburg and Berlin have comparably good multimodal accessibility, large parts of the programme have accessibility values below European average. Also possibilities for one-day business trips within the European city network are mainly limited to the capital cities plus the larger urban areas in Poland and the German part of the programme area, as well as Malmö and Gothenburg in Sweden and St. Petersburg. Good accessibility is centred towards large urban agglomerations and major international airports or major train stations whereas other parts of the programme area have below accessibility values below European average. Many remote regions of the programme area have considerably less favourable accessibility and some even the lowest accessibility figures in Europe.</w:t>
      </w:r>
    </w:p>
    <w:p w:rsidR="00A6569B" w:rsidRDefault="00A6569B" w:rsidP="00A6569B">
      <w:r>
        <w:t xml:space="preserve">With regard to geographic specificities, the programme areas comprises certainly a large amount of coastal areas, a number of islands, and most of the sparsely populated areas in Europe, some of them being also mountainous areas. Accordingly a substantial part of the programme area is to be considered as territories with geographic specificities. </w:t>
      </w:r>
    </w:p>
    <w:p w:rsidR="00A6569B" w:rsidRDefault="00A6569B" w:rsidP="00A6569B">
      <w:r>
        <w:t>The territorial specificities come with advantages and challenges. Although they do not come with a</w:t>
      </w:r>
      <w:r w:rsidRPr="00082FCD">
        <w:t xml:space="preserve"> </w:t>
      </w:r>
      <w:r>
        <w:t>specific</w:t>
      </w:r>
      <w:r w:rsidRPr="00082FCD">
        <w:t xml:space="preserve"> economic structure, it appears that a significant proportion of </w:t>
      </w:r>
      <w:r>
        <w:t>mountain and coastal areas as well as islands</w:t>
      </w:r>
      <w:r w:rsidRPr="00082FCD">
        <w:t xml:space="preserve"> have high residential attractiveness. Many mountain </w:t>
      </w:r>
      <w:r>
        <w:t xml:space="preserve">and coastal </w:t>
      </w:r>
      <w:r w:rsidRPr="00082FCD">
        <w:t xml:space="preserve">areas are also characterised by relatively high levels of biodiversity and protected areas. Furthermore, </w:t>
      </w:r>
      <w:r>
        <w:t xml:space="preserve">coastal ecosystems </w:t>
      </w:r>
      <w:r w:rsidRPr="00696FC1">
        <w:t>provide not only food but h</w:t>
      </w:r>
      <w:r>
        <w:t>abitats for diverse economic</w:t>
      </w:r>
      <w:r w:rsidRPr="00696FC1">
        <w:t>-valuable and other</w:t>
      </w:r>
      <w:r>
        <w:t xml:space="preserve"> </w:t>
      </w:r>
      <w:r w:rsidRPr="00696FC1">
        <w:t>species</w:t>
      </w:r>
      <w:r w:rsidRPr="00082FCD">
        <w:t>.</w:t>
      </w:r>
    </w:p>
    <w:p w:rsidR="003C5D09" w:rsidRDefault="00A6569B" w:rsidP="003C5D09">
      <w:pPr>
        <w:rPr>
          <w:highlight w:val="yellow"/>
        </w:rPr>
      </w:pPr>
      <w:r>
        <w:t xml:space="preserve">Last but not least, it has to be noted that coastal areas and islands are often particularly vulnerable to climate change. </w:t>
      </w:r>
    </w:p>
    <w:p w:rsidR="003C5D09" w:rsidRPr="003C5D09" w:rsidRDefault="003C5D09" w:rsidP="003C5D09">
      <w:pPr>
        <w:rPr>
          <w:highlight w:val="yellow"/>
        </w:rPr>
      </w:pPr>
    </w:p>
    <w:p w:rsidR="0019394E" w:rsidRDefault="0019394E" w:rsidP="0019394E">
      <w:pPr>
        <w:spacing w:after="0" w:line="240" w:lineRule="auto"/>
        <w:jc w:val="left"/>
      </w:pPr>
      <w:r>
        <w:br w:type="page"/>
      </w:r>
    </w:p>
    <w:p w:rsidR="006166FD" w:rsidRPr="004E39BD" w:rsidRDefault="00546069" w:rsidP="006166FD">
      <w:pPr>
        <w:rPr>
          <w:b/>
        </w:rPr>
      </w:pPr>
      <w:r w:rsidRPr="00546069">
        <w:rPr>
          <w:noProof/>
          <w:lang w:val="de-DE" w:eastAsia="de-DE"/>
        </w:rPr>
        <w:pict>
          <v:shape id="_x0000_s1037" style="position:absolute;left:0;text-align:left;margin-left:148.6pt;margin-top:26.9pt;width:189.7pt;height:257.9pt;z-index:251684352" coordsize="3794,5158" path="m,2617c39,2369,590,2066,729,1832v139,-234,30,-447,103,-617c905,1045,1060,914,1169,813,1278,712,1389,674,1487,607v98,-67,31,-187,271,-196c1998,402,2609,528,2927,551v318,23,609,-551,738,c3794,1102,3723,3222,3703,3861v-20,639,-90,413,-159,524c3475,4496,3413,4502,3291,4525v-122,23,-359,-12,-477,c2696,4537,2615,4543,2581,4600v-34,57,38,179,31,265c2605,4951,2604,5075,2541,5116v-64,42,-248,3,-309,c2172,5114,2216,5106,2174,5102v-41,-5,-125,-3,-193,-15c1913,5075,1844,5054,1766,5030v-79,-23,-163,-56,-258,-86c1413,4914,1271,4891,1192,4851v-80,-41,-113,-109,-164,-151c976,4658,944,4622,883,4600v-60,-23,-147,2,-222,-37c587,4524,476,4438,439,4363v-37,-75,1,-143,,-251c438,4004,480,3838,432,3717,384,3596,221,3567,149,3384,77,3201,31,2777,,2617xe" filled="f" strokecolor="#0070c0" strokeweight="2pt">
            <v:path arrowok="t"/>
          </v:shape>
        </w:pict>
      </w:r>
      <w:r w:rsidR="0019394E" w:rsidRPr="0019394E">
        <w:rPr>
          <w:b/>
          <w:noProof/>
          <w:lang w:eastAsia="en-GB"/>
        </w:rPr>
        <w:t xml:space="preserve">MAP </w:t>
      </w:r>
      <w:r w:rsidR="007221CD">
        <w:rPr>
          <w:b/>
          <w:noProof/>
          <w:lang w:eastAsia="en-GB"/>
        </w:rPr>
        <w:t xml:space="preserve">6 </w:t>
      </w:r>
      <w:r w:rsidR="0019394E" w:rsidRPr="0019394E">
        <w:rPr>
          <w:b/>
          <w:noProof/>
          <w:lang w:eastAsia="en-GB"/>
        </w:rPr>
        <w:t xml:space="preserve">– Urban-rural typology of NUTS3 regions including remoteness (DG Regio) </w:t>
      </w:r>
      <w:r w:rsidR="0019394E">
        <w:rPr>
          <w:b/>
          <w:noProof/>
          <w:lang w:eastAsia="en-GB"/>
        </w:rPr>
        <w:t xml:space="preserve">for the </w:t>
      </w:r>
      <w:r w:rsidR="006166FD">
        <w:rPr>
          <w:b/>
        </w:rPr>
        <w:t xml:space="preserve">TNC </w:t>
      </w:r>
      <w:r w:rsidR="00D339F7">
        <w:rPr>
          <w:b/>
        </w:rPr>
        <w:t>Baltic Sea</w:t>
      </w:r>
    </w:p>
    <w:p w:rsidR="0089569C" w:rsidRDefault="0089569C" w:rsidP="0089569C">
      <w:pPr>
        <w:spacing w:after="0" w:line="240" w:lineRule="auto"/>
        <w:jc w:val="left"/>
        <w:rPr>
          <w:noProof/>
          <w:lang w:eastAsia="en-GB"/>
        </w:rPr>
      </w:pPr>
    </w:p>
    <w:p w:rsidR="0089569C" w:rsidRDefault="0041256F" w:rsidP="0089569C">
      <w:pPr>
        <w:spacing w:after="0" w:line="240" w:lineRule="auto"/>
        <w:jc w:val="left"/>
        <w:rPr>
          <w:noProof/>
          <w:lang w:eastAsia="en-GB"/>
        </w:rPr>
      </w:pPr>
      <w:r>
        <w:rPr>
          <w:noProof/>
          <w:lang w:val="nb-NO" w:eastAsia="nb-NO"/>
        </w:rPr>
        <w:drawing>
          <wp:inline distT="0" distB="0" distL="0" distR="0">
            <wp:extent cx="5278755" cy="721406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D339F7">
        <w:rPr>
          <w:b/>
        </w:rPr>
        <w:t>Baltic Sea</w:t>
      </w:r>
    </w:p>
    <w:p w:rsidR="00064E27" w:rsidRPr="00021CAB" w:rsidRDefault="00546069" w:rsidP="00064E27">
      <w:pPr>
        <w:spacing w:after="240"/>
        <w:rPr>
          <w:i/>
        </w:rPr>
      </w:pPr>
      <w:r w:rsidRPr="00546069">
        <w:rPr>
          <w:i/>
          <w:noProof/>
          <w:lang w:val="de-DE" w:eastAsia="de-DE"/>
        </w:rPr>
        <w:pict>
          <v:shape id="_x0000_s1038" style="position:absolute;left:0;text-align:left;margin-left:147.75pt;margin-top:25.85pt;width:188.8pt;height:259.8pt;z-index:251685376" coordsize="3776,5196" path="m92,2422v92,-292,526,-658,655,-892c876,1296,784,1171,868,1019,952,867,1145,710,1251,617v106,-93,164,-105,253,-159c1593,404,1554,296,1784,290v230,-6,793,117,1103,131c3197,435,3514,,3645,374v131,374,20,1757,28,2291c3681,3199,3703,3308,3692,3581v-11,273,24,578,-85,720c3498,4443,3199,4401,3037,4432v-162,31,-356,27,-402,56c2589,4517,2750,4539,2759,4606v9,67,-41,194,-67,285c2666,4981,2682,5109,2607,5152v-74,44,-291,3,-363,c2172,5150,2225,5142,2176,5137v-50,-4,-148,-2,-228,-15c1868,5110,1787,5087,1694,5063v-93,-25,-192,-59,-304,-90c1278,4942,1111,4918,1017,4875,923,4833,884,4762,824,4718v-61,-43,-99,-81,-170,-105c582,4590,479,4616,392,4576,304,4535,174,4445,130,4367v-44,-79,1,-150,,-262c129,3992,111,3830,121,3693v11,-137,81,-200,76,-412c192,3069,,2714,92,2422xe" filled="f" strokecolor="#0070c0" strokeweight="2pt">
            <v:path arrowok="t"/>
          </v:shape>
        </w:pict>
      </w:r>
      <w:r w:rsidR="00064E27" w:rsidRPr="00021CAB">
        <w:rPr>
          <w:i/>
        </w:rPr>
        <w:t>“Potential Accessibility Multimodal” scores accessibility of NUTS 3 regions by road, rail and air relative to the European average in an Accessibility Index.</w:t>
      </w:r>
    </w:p>
    <w:p w:rsidR="0089569C" w:rsidRDefault="000A0127" w:rsidP="0089569C">
      <w:pPr>
        <w:spacing w:after="0" w:line="240" w:lineRule="auto"/>
        <w:jc w:val="left"/>
        <w:rPr>
          <w:noProof/>
          <w:lang w:eastAsia="en-GB"/>
        </w:rPr>
      </w:pPr>
      <w:r>
        <w:rPr>
          <w:noProof/>
          <w:lang w:val="nb-NO" w:eastAsia="nb-NO"/>
        </w:rPr>
        <w:drawing>
          <wp:inline distT="0" distB="0" distL="0" distR="0">
            <wp:extent cx="5278755" cy="7444105"/>
            <wp:effectExtent l="19050" t="0" r="0" b="0"/>
            <wp:docPr id="19" name="Grafik 18"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3"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A13D0B" w:rsidRDefault="0019394E" w:rsidP="0019394E">
      <w:pPr>
        <w:pStyle w:val="Overskrift1"/>
      </w:pPr>
      <w:r w:rsidRPr="00A13D0B">
        <w:t xml:space="preserve">Recommended ESPON reading </w:t>
      </w:r>
    </w:p>
    <w:p w:rsidR="00A13D0B" w:rsidRDefault="00A13D0B" w:rsidP="00A13D0B">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A13D0B" w:rsidRDefault="00A13D0B" w:rsidP="00A13D0B">
      <w:r>
        <w:t>The table below shows examples of relevant projects for the Cooperation Region. However, you have to study other ESPON reports as well in order to capitalise fully on the European information available for the transnational programming.</w:t>
      </w:r>
    </w:p>
    <w:tbl>
      <w:tblPr>
        <w:tblW w:w="978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134"/>
        <w:gridCol w:w="7371"/>
      </w:tblGrid>
      <w:tr w:rsidR="00A13D0B" w:rsidRPr="00362CD8" w:rsidTr="00C40682">
        <w:trPr>
          <w:trHeight w:val="203"/>
        </w:trPr>
        <w:tc>
          <w:tcPr>
            <w:tcW w:w="1276" w:type="dxa"/>
            <w:shd w:val="clear" w:color="auto" w:fill="auto"/>
          </w:tcPr>
          <w:p w:rsidR="00A13D0B" w:rsidRPr="00B173AB" w:rsidRDefault="00A13D0B" w:rsidP="00C40682">
            <w:pPr>
              <w:spacing w:after="0" w:line="20" w:lineRule="atLeast"/>
              <w:rPr>
                <w:b/>
                <w:sz w:val="14"/>
                <w:szCs w:val="20"/>
              </w:rPr>
            </w:pPr>
            <w:r w:rsidRPr="00B173AB">
              <w:rPr>
                <w:b/>
                <w:sz w:val="14"/>
                <w:szCs w:val="20"/>
              </w:rPr>
              <w:t>ESPON study</w:t>
            </w:r>
          </w:p>
        </w:tc>
        <w:tc>
          <w:tcPr>
            <w:tcW w:w="1134" w:type="dxa"/>
            <w:shd w:val="clear" w:color="auto" w:fill="auto"/>
          </w:tcPr>
          <w:p w:rsidR="00A13D0B" w:rsidRPr="00B173AB" w:rsidRDefault="00A13D0B" w:rsidP="00C40682">
            <w:pPr>
              <w:spacing w:after="0" w:line="20" w:lineRule="atLeast"/>
              <w:rPr>
                <w:b/>
                <w:sz w:val="14"/>
                <w:szCs w:val="20"/>
              </w:rPr>
            </w:pPr>
            <w:r w:rsidRPr="00B173AB">
              <w:rPr>
                <w:b/>
                <w:sz w:val="14"/>
                <w:szCs w:val="20"/>
              </w:rPr>
              <w:t>Topic</w:t>
            </w:r>
          </w:p>
        </w:tc>
        <w:tc>
          <w:tcPr>
            <w:tcW w:w="7371" w:type="dxa"/>
            <w:shd w:val="clear" w:color="auto" w:fill="auto"/>
          </w:tcPr>
          <w:p w:rsidR="00A13D0B" w:rsidRPr="00E330B3" w:rsidRDefault="00A13D0B" w:rsidP="00C40682">
            <w:pPr>
              <w:spacing w:after="0" w:line="20" w:lineRule="atLeast"/>
              <w:rPr>
                <w:b/>
                <w:sz w:val="14"/>
                <w:szCs w:val="20"/>
              </w:rPr>
            </w:pPr>
            <w:r w:rsidRPr="00E330B3">
              <w:rPr>
                <w:b/>
                <w:sz w:val="14"/>
                <w:szCs w:val="20"/>
              </w:rPr>
              <w:t>Content</w:t>
            </w:r>
          </w:p>
        </w:tc>
      </w:tr>
      <w:tr w:rsidR="00A13D0B" w:rsidRPr="009D2E8A" w:rsidTr="00C40682">
        <w:trPr>
          <w:trHeight w:val="274"/>
        </w:trPr>
        <w:tc>
          <w:tcPr>
            <w:tcW w:w="1276" w:type="dxa"/>
            <w:shd w:val="clear" w:color="auto" w:fill="FFFFFF" w:themeFill="background1"/>
          </w:tcPr>
          <w:p w:rsidR="00A13D0B" w:rsidRPr="00B173AB" w:rsidRDefault="00A13D0B" w:rsidP="00C40682">
            <w:pPr>
              <w:spacing w:after="0" w:line="20" w:lineRule="atLeast"/>
              <w:rPr>
                <w:rFonts w:cs="Calibri"/>
                <w:sz w:val="14"/>
                <w:szCs w:val="18"/>
                <w:lang w:eastAsia="fr-FR"/>
              </w:rPr>
            </w:pPr>
            <w:r w:rsidRPr="00B173AB">
              <w:rPr>
                <w:rFonts w:cs="Calibri"/>
                <w:sz w:val="14"/>
                <w:szCs w:val="18"/>
                <w:lang w:eastAsia="fr-FR"/>
              </w:rPr>
              <w:t xml:space="preserve">TRANSMEC </w:t>
            </w:r>
          </w:p>
        </w:tc>
        <w:tc>
          <w:tcPr>
            <w:tcW w:w="1134" w:type="dxa"/>
            <w:shd w:val="clear" w:color="auto" w:fill="FFFFFF" w:themeFill="background1"/>
          </w:tcPr>
          <w:p w:rsidR="00A13D0B" w:rsidRPr="00B173AB" w:rsidRDefault="00A13D0B" w:rsidP="00C40682">
            <w:pPr>
              <w:spacing w:after="0" w:line="20" w:lineRule="atLeast"/>
              <w:rPr>
                <w:rFonts w:cs="Calibri"/>
                <w:sz w:val="14"/>
                <w:szCs w:val="18"/>
                <w:lang w:eastAsia="fr-FR"/>
              </w:rPr>
            </w:pPr>
            <w:r w:rsidRPr="00B173AB">
              <w:rPr>
                <w:rFonts w:cs="Calibri"/>
                <w:sz w:val="14"/>
                <w:szCs w:val="18"/>
                <w:lang w:eastAsia="fr-FR"/>
              </w:rPr>
              <w:t>European cooperation</w:t>
            </w:r>
          </w:p>
        </w:tc>
        <w:tc>
          <w:tcPr>
            <w:tcW w:w="7371" w:type="dxa"/>
            <w:shd w:val="clear" w:color="auto" w:fill="FFFFFF" w:themeFill="background1"/>
          </w:tcPr>
          <w:p w:rsidR="00A13D0B" w:rsidRPr="009C0070" w:rsidRDefault="00A13D0B" w:rsidP="00C40682">
            <w:pPr>
              <w:spacing w:after="0" w:line="20" w:lineRule="atLeast"/>
              <w:rPr>
                <w:rFonts w:cs="Calibri"/>
                <w:sz w:val="14"/>
                <w:szCs w:val="18"/>
                <w:lang w:eastAsia="fr-FR"/>
              </w:rPr>
            </w:pPr>
            <w:r w:rsidRPr="00E330B3">
              <w:rPr>
                <w:rFonts w:cs="Calibri"/>
                <w:sz w:val="14"/>
                <w:szCs w:val="18"/>
                <w:lang w:eastAsia="fr-FR"/>
              </w:rPr>
              <w:t>It develops general tools to support territorial cooperation programmes in capitalisation and considerations on future strategic project development</w:t>
            </w:r>
            <w:r>
              <w:rPr>
                <w:rFonts w:cs="Calibri"/>
                <w:sz w:val="14"/>
                <w:szCs w:val="18"/>
                <w:lang w:eastAsia="fr-FR"/>
              </w:rPr>
              <w:t xml:space="preserve"> </w:t>
            </w:r>
            <w:r w:rsidRPr="009C0070">
              <w:rPr>
                <w:rFonts w:cs="Calibri"/>
                <w:sz w:val="14"/>
                <w:szCs w:val="18"/>
                <w:lang w:eastAsia="fr-FR"/>
              </w:rPr>
              <w:t>(see map 27 and from map 36 to 39 on potential accessibility indicators)</w:t>
            </w:r>
            <w:r w:rsidRPr="00E330B3">
              <w:rPr>
                <w:rFonts w:cs="Calibri"/>
                <w:sz w:val="14"/>
                <w:szCs w:val="18"/>
                <w:lang w:eastAsia="fr-FR"/>
              </w:rPr>
              <w:t xml:space="preserve">. The method is applied for the Northwest-Europe cooperation area. </w:t>
            </w:r>
          </w:p>
        </w:tc>
      </w:tr>
      <w:tr w:rsidR="00A13D0B" w:rsidRPr="009D2E8A"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SEMIGRA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Rural migration</w:t>
            </w:r>
          </w:p>
        </w:tc>
        <w:tc>
          <w:tcPr>
            <w:tcW w:w="7371" w:type="dxa"/>
            <w:shd w:val="clear" w:color="auto" w:fill="FFFFFF" w:themeFill="background1"/>
          </w:tcPr>
          <w:p w:rsidR="00A13D0B" w:rsidRPr="009C0070" w:rsidRDefault="00A13D0B" w:rsidP="00C40682">
            <w:pPr>
              <w:spacing w:after="0" w:line="20" w:lineRule="atLeast"/>
              <w:rPr>
                <w:rFonts w:cs="Calibri"/>
                <w:sz w:val="14"/>
                <w:szCs w:val="18"/>
                <w:lang w:eastAsia="fr-FR"/>
              </w:rPr>
            </w:pPr>
            <w:r w:rsidRPr="009C0070">
              <w:rPr>
                <w:rFonts w:cs="Calibri"/>
                <w:sz w:val="14"/>
                <w:szCs w:val="18"/>
                <w:lang w:eastAsia="fr-FR"/>
              </w:rPr>
              <w:t xml:space="preserve">It identifies the main reasons and consequences of selective migration in rural regions (see map 1, 4 and 5). The case studies include Västernorrland in Sweden and Kainuu in Finland. </w:t>
            </w:r>
          </w:p>
        </w:tc>
      </w:tr>
      <w:tr w:rsidR="00A13D0B" w:rsidRPr="00572A9E"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DEMIFER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Demography</w:t>
            </w:r>
          </w:p>
        </w:tc>
        <w:tc>
          <w:tcPr>
            <w:tcW w:w="7371" w:type="dxa"/>
            <w:shd w:val="clear" w:color="auto" w:fill="FFFFFF" w:themeFill="background1"/>
          </w:tcPr>
          <w:p w:rsidR="00A13D0B" w:rsidRPr="00E330B3" w:rsidRDefault="00A13D0B" w:rsidP="00C40682">
            <w:pPr>
              <w:spacing w:after="0" w:line="20" w:lineRule="atLeast"/>
              <w:rPr>
                <w:rFonts w:cs="Calibri"/>
                <w:sz w:val="14"/>
                <w:szCs w:val="18"/>
                <w:lang w:eastAsia="fr-FR"/>
              </w:rPr>
            </w:pPr>
            <w:r w:rsidRPr="00E330B3">
              <w:rPr>
                <w:rFonts w:cs="Calibri"/>
                <w:sz w:val="14"/>
                <w:szCs w:val="18"/>
                <w:lang w:eastAsia="fr-FR"/>
              </w:rPr>
              <w:t>It provides evidence on the regional effects of migration on Europe's demographic future. The case studies include Mecklenburg-Vorpommern (Annex D12-3), Sydsverige (Annex D12-10) as well as reference to Hovedstaden and Sjælland in Denmark.</w:t>
            </w:r>
          </w:p>
        </w:tc>
      </w:tr>
      <w:tr w:rsidR="00A13D0B" w:rsidRPr="00572A9E"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ReRisk</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Energy</w:t>
            </w:r>
          </w:p>
        </w:tc>
        <w:tc>
          <w:tcPr>
            <w:tcW w:w="7371" w:type="dxa"/>
            <w:shd w:val="clear" w:color="auto" w:fill="FFFFFF" w:themeFill="background1"/>
          </w:tcPr>
          <w:p w:rsidR="00A13D0B" w:rsidRPr="00E330B3" w:rsidRDefault="00A13D0B" w:rsidP="00C40682">
            <w:pPr>
              <w:spacing w:after="0" w:line="20" w:lineRule="atLeast"/>
              <w:rPr>
                <w:rFonts w:cs="Calibri"/>
                <w:sz w:val="14"/>
                <w:szCs w:val="20"/>
                <w:lang w:eastAsia="fr-FR"/>
              </w:rPr>
            </w:pPr>
            <w:r w:rsidRPr="00E330B3">
              <w:rPr>
                <w:rFonts w:cs="Calibri"/>
                <w:sz w:val="14"/>
                <w:szCs w:val="20"/>
                <w:lang w:eastAsia="fr-FR"/>
              </w:rPr>
              <w:t xml:space="preserve">The project focuses on opportunities to support competitive and clean energy supplies for regions in Europe and to generate and strengthen sustainable energy sources. The case studies include Kalmar county in Sweden and the island of Samsø in Denmark. </w:t>
            </w:r>
          </w:p>
        </w:tc>
      </w:tr>
      <w:tr w:rsidR="00A13D0B" w:rsidRPr="00572A9E"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TERCO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Territorial cooperation</w:t>
            </w:r>
          </w:p>
        </w:tc>
        <w:tc>
          <w:tcPr>
            <w:tcW w:w="7371" w:type="dxa"/>
            <w:shd w:val="clear" w:color="auto" w:fill="FFFFFF" w:themeFill="background1"/>
          </w:tcPr>
          <w:p w:rsidR="00A13D0B" w:rsidRPr="00E330B3" w:rsidRDefault="00A13D0B" w:rsidP="00C40682">
            <w:pPr>
              <w:spacing w:after="0" w:line="20" w:lineRule="atLeast"/>
              <w:rPr>
                <w:rFonts w:cs="Calibri"/>
                <w:sz w:val="14"/>
                <w:szCs w:val="18"/>
                <w:lang w:eastAsia="fr-FR"/>
              </w:rPr>
            </w:pPr>
            <w:r w:rsidRPr="00E330B3">
              <w:rPr>
                <w:rFonts w:cs="Calibri"/>
                <w:sz w:val="14"/>
                <w:szCs w:val="20"/>
                <w:lang w:eastAsia="fr-FR"/>
              </w:rPr>
              <w:t xml:space="preserve">The project provides an assessment of existing territorial cooperation areas and their territorial development challenges and potentials. The case studies include the programme areas Finland-Russia, </w:t>
            </w:r>
            <w:r w:rsidRPr="00E330B3">
              <w:rPr>
                <w:rFonts w:cs="Calibri"/>
                <w:sz w:val="14"/>
                <w:szCs w:val="18"/>
                <w:lang w:eastAsia="fr-FR"/>
              </w:rPr>
              <w:t>Poland-Slovakia-Ukraine, Poland-Germany-Czech Republic, and Scotland-Norway-Sweden.</w:t>
            </w:r>
          </w:p>
        </w:tc>
      </w:tr>
      <w:tr w:rsidR="00A13D0B" w:rsidRPr="00572A9E"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SGPTD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Growth poles</w:t>
            </w:r>
          </w:p>
        </w:tc>
        <w:tc>
          <w:tcPr>
            <w:tcW w:w="7371" w:type="dxa"/>
            <w:shd w:val="clear" w:color="auto" w:fill="FFFFFF" w:themeFill="background1"/>
          </w:tcPr>
          <w:p w:rsidR="00A13D0B" w:rsidRPr="00E330B3" w:rsidRDefault="00A13D0B" w:rsidP="00C40682">
            <w:pPr>
              <w:spacing w:after="0" w:line="20" w:lineRule="atLeast"/>
              <w:rPr>
                <w:rFonts w:cs="Calibri"/>
                <w:sz w:val="14"/>
                <w:szCs w:val="20"/>
                <w:lang w:eastAsia="fr-FR"/>
              </w:rPr>
            </w:pPr>
            <w:r w:rsidRPr="00E330B3">
              <w:rPr>
                <w:rFonts w:cs="Calibri"/>
                <w:sz w:val="14"/>
                <w:szCs w:val="20"/>
                <w:lang w:eastAsia="fr-FR"/>
              </w:rPr>
              <w:t>It provides evidence on European secondary cities, their performance and functional roles in different parts of Europe, and the potential policy intervention affecting their performance</w:t>
            </w:r>
            <w:r>
              <w:rPr>
                <w:rFonts w:cs="Calibri"/>
                <w:sz w:val="14"/>
                <w:szCs w:val="20"/>
                <w:lang w:eastAsia="fr-FR"/>
              </w:rPr>
              <w:t xml:space="preserve"> </w:t>
            </w:r>
            <w:r w:rsidRPr="00EF4555">
              <w:rPr>
                <w:sz w:val="14"/>
                <w:szCs w:val="18"/>
              </w:rPr>
              <w:t>(see from figure 2 to 2.12</w:t>
            </w:r>
            <w:r>
              <w:rPr>
                <w:sz w:val="14"/>
                <w:szCs w:val="18"/>
              </w:rPr>
              <w:t>)</w:t>
            </w:r>
            <w:r w:rsidRPr="00E330B3">
              <w:rPr>
                <w:rFonts w:cs="Calibri"/>
                <w:sz w:val="14"/>
                <w:szCs w:val="20"/>
                <w:lang w:eastAsia="fr-FR"/>
              </w:rPr>
              <w:t xml:space="preserve">. The project includes one case study on the city of Tampere in Finland. </w:t>
            </w:r>
          </w:p>
        </w:tc>
      </w:tr>
      <w:tr w:rsidR="00A13D0B" w:rsidRPr="00B60EFA"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GEOSPECS</w:t>
            </w:r>
          </w:p>
          <w:p w:rsidR="00A13D0B" w:rsidRPr="00B173AB" w:rsidRDefault="00A13D0B" w:rsidP="00C40682">
            <w:pPr>
              <w:spacing w:after="0" w:line="20" w:lineRule="atLeast"/>
              <w:rPr>
                <w:sz w:val="14"/>
                <w:szCs w:val="18"/>
              </w:rPr>
            </w:pP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Specific types of territories</w:t>
            </w:r>
          </w:p>
        </w:tc>
        <w:tc>
          <w:tcPr>
            <w:tcW w:w="7371" w:type="dxa"/>
            <w:shd w:val="clear" w:color="auto" w:fill="FFFFFF" w:themeFill="background1"/>
          </w:tcPr>
          <w:p w:rsidR="00A13D0B" w:rsidRPr="00E330B3" w:rsidRDefault="00A13D0B" w:rsidP="00C40682">
            <w:pPr>
              <w:spacing w:after="0" w:line="20" w:lineRule="atLeast"/>
              <w:rPr>
                <w:rFonts w:cs="Calibri"/>
                <w:sz w:val="14"/>
                <w:szCs w:val="20"/>
                <w:lang w:eastAsia="fr-FR"/>
              </w:rPr>
            </w:pPr>
            <w:r w:rsidRPr="00E330B3">
              <w:rPr>
                <w:rFonts w:cs="Calibri"/>
                <w:sz w:val="14"/>
                <w:szCs w:val="20"/>
                <w:lang w:eastAsia="fr-FR"/>
              </w:rPr>
              <w:t xml:space="preserve">It provides evidence on the strength, weaknesses and development opportunities of specific types of territories and regions (e.g. border areas, highly or sparsely populated areas). The case studies include the Torne Valley (Sweden and Finland) and the Czech-German-Polish border. </w:t>
            </w:r>
          </w:p>
        </w:tc>
      </w:tr>
      <w:tr w:rsidR="00A13D0B" w:rsidRPr="00296751"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EUROISLANDS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Islands</w:t>
            </w:r>
          </w:p>
        </w:tc>
        <w:tc>
          <w:tcPr>
            <w:tcW w:w="7371" w:type="dxa"/>
            <w:shd w:val="clear" w:color="auto" w:fill="FFFFFF" w:themeFill="background1"/>
          </w:tcPr>
          <w:p w:rsidR="00A13D0B" w:rsidRPr="00E330B3" w:rsidRDefault="00A13D0B" w:rsidP="00C40682">
            <w:pPr>
              <w:spacing w:after="0" w:line="20" w:lineRule="atLeast"/>
              <w:rPr>
                <w:rFonts w:cs="Calibri"/>
                <w:sz w:val="14"/>
                <w:szCs w:val="18"/>
                <w:lang w:eastAsia="fr-FR"/>
              </w:rPr>
            </w:pPr>
            <w:r w:rsidRPr="00E330B3">
              <w:rPr>
                <w:sz w:val="14"/>
                <w:szCs w:val="18"/>
              </w:rPr>
              <w:t xml:space="preserve">It gives evidence on the divergence of island's situation from the European average and on existing policy measures for the islands. The case studies include </w:t>
            </w:r>
            <w:r w:rsidRPr="00E330B3">
              <w:rPr>
                <w:rFonts w:cs="Calibri"/>
                <w:sz w:val="14"/>
                <w:szCs w:val="18"/>
                <w:lang w:eastAsia="fr-FR"/>
              </w:rPr>
              <w:t>the Åland Islands (FI), Saaremaa (EE), and Samsø (DK).</w:t>
            </w:r>
          </w:p>
        </w:tc>
      </w:tr>
      <w:tr w:rsidR="00A13D0B" w:rsidRPr="00296751"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SURE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Convergence regions</w:t>
            </w:r>
          </w:p>
        </w:tc>
        <w:tc>
          <w:tcPr>
            <w:tcW w:w="7371" w:type="dxa"/>
            <w:shd w:val="clear" w:color="auto" w:fill="FFFFFF" w:themeFill="background1"/>
          </w:tcPr>
          <w:p w:rsidR="00A13D0B" w:rsidRPr="00E330B3" w:rsidRDefault="00A13D0B" w:rsidP="00C40682">
            <w:pPr>
              <w:spacing w:after="0" w:line="20" w:lineRule="atLeast"/>
              <w:rPr>
                <w:sz w:val="14"/>
                <w:szCs w:val="18"/>
              </w:rPr>
            </w:pPr>
            <w:r w:rsidRPr="00E330B3">
              <w:rPr>
                <w:sz w:val="14"/>
                <w:szCs w:val="18"/>
              </w:rPr>
              <w:t>It focuses on the specific challenges of development of convergence regions within the EU and it seeks to understand why some convergence regions are unable to improve economic performance and competitiveness. One of the case studies is on Podlasie, in Poland.</w:t>
            </w:r>
          </w:p>
        </w:tc>
      </w:tr>
      <w:tr w:rsidR="00A13D0B" w:rsidRPr="00296751"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 xml:space="preserve">PURR </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Rural regions</w:t>
            </w:r>
          </w:p>
        </w:tc>
        <w:tc>
          <w:tcPr>
            <w:tcW w:w="7371" w:type="dxa"/>
            <w:shd w:val="clear" w:color="auto" w:fill="FFFFFF" w:themeFill="background1"/>
            <w:vAlign w:val="center"/>
          </w:tcPr>
          <w:p w:rsidR="00A13D0B" w:rsidRPr="00E330B3" w:rsidRDefault="00A13D0B" w:rsidP="00C40682">
            <w:pPr>
              <w:spacing w:after="0" w:line="20" w:lineRule="atLeast"/>
              <w:rPr>
                <w:sz w:val="14"/>
                <w:szCs w:val="18"/>
              </w:rPr>
            </w:pPr>
            <w:r w:rsidRPr="00E330B3">
              <w:rPr>
                <w:sz w:val="14"/>
                <w:szCs w:val="18"/>
              </w:rPr>
              <w:t>It creates and tests new ways to explore the territorial potentials of some rural areas and small and medium-sized towns in peripheral parts of Europe around the North Sea, the Irish Sea and the Baltic Sea. The case studies include Notodden in Norway and Amata Vidzeme in Latvia.</w:t>
            </w:r>
          </w:p>
        </w:tc>
      </w:tr>
      <w:tr w:rsidR="00A13D0B" w:rsidRPr="00296751" w:rsidTr="00C40682">
        <w:trPr>
          <w:trHeight w:val="274"/>
        </w:trPr>
        <w:tc>
          <w:tcPr>
            <w:tcW w:w="1276"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RISE</w:t>
            </w:r>
          </w:p>
        </w:tc>
        <w:tc>
          <w:tcPr>
            <w:tcW w:w="1134" w:type="dxa"/>
            <w:shd w:val="clear" w:color="auto" w:fill="FFFFFF" w:themeFill="background1"/>
          </w:tcPr>
          <w:p w:rsidR="00A13D0B" w:rsidRPr="00B173AB" w:rsidRDefault="00A13D0B" w:rsidP="00C40682">
            <w:pPr>
              <w:spacing w:after="0" w:line="20" w:lineRule="atLeast"/>
              <w:rPr>
                <w:sz w:val="14"/>
                <w:szCs w:val="18"/>
              </w:rPr>
            </w:pPr>
            <w:r w:rsidRPr="00B173AB">
              <w:rPr>
                <w:sz w:val="14"/>
                <w:szCs w:val="18"/>
              </w:rPr>
              <w:t>Integrated strategies</w:t>
            </w:r>
          </w:p>
        </w:tc>
        <w:tc>
          <w:tcPr>
            <w:tcW w:w="7371" w:type="dxa"/>
            <w:shd w:val="clear" w:color="auto" w:fill="FFFFFF" w:themeFill="background1"/>
          </w:tcPr>
          <w:p w:rsidR="00A13D0B" w:rsidRPr="00E330B3" w:rsidRDefault="00A13D0B" w:rsidP="00C40682">
            <w:pPr>
              <w:spacing w:after="0" w:line="20" w:lineRule="atLeast"/>
              <w:rPr>
                <w:sz w:val="14"/>
                <w:szCs w:val="18"/>
              </w:rPr>
            </w:pPr>
            <w:r w:rsidRPr="00E330B3">
              <w:rPr>
                <w:sz w:val="14"/>
                <w:szCs w:val="18"/>
              </w:rPr>
              <w:t>It shows how monitoring and evaluation indicators and methodologies can be used to enhance the development of Regional Integrated Strategies. The case studies include Randstad, in the Netherlands, Västerbotten I Sweden and Zealand, in Denmark.</w:t>
            </w:r>
          </w:p>
        </w:tc>
      </w:tr>
      <w:tr w:rsidR="00A13D0B" w:rsidRPr="00296751" w:rsidTr="00C40682">
        <w:trPr>
          <w:trHeight w:val="274"/>
        </w:trPr>
        <w:tc>
          <w:tcPr>
            <w:tcW w:w="1276" w:type="dxa"/>
            <w:shd w:val="clear" w:color="auto" w:fill="FFFFFF" w:themeFill="background1"/>
          </w:tcPr>
          <w:p w:rsidR="00A13D0B" w:rsidRPr="00EF4555" w:rsidRDefault="00A13D0B" w:rsidP="00C40682">
            <w:pPr>
              <w:autoSpaceDE w:val="0"/>
              <w:autoSpaceDN w:val="0"/>
              <w:adjustRightInd w:val="0"/>
              <w:spacing w:after="0" w:line="240" w:lineRule="auto"/>
              <w:rPr>
                <w:sz w:val="14"/>
                <w:szCs w:val="18"/>
              </w:rPr>
            </w:pPr>
            <w:r w:rsidRPr="00EF4555">
              <w:rPr>
                <w:sz w:val="14"/>
                <w:szCs w:val="18"/>
              </w:rPr>
              <w:t>KIT</w:t>
            </w:r>
          </w:p>
        </w:tc>
        <w:tc>
          <w:tcPr>
            <w:tcW w:w="1134" w:type="dxa"/>
            <w:shd w:val="clear" w:color="auto" w:fill="FFFFFF" w:themeFill="background1"/>
          </w:tcPr>
          <w:p w:rsidR="00A13D0B" w:rsidRPr="00EF4555" w:rsidRDefault="00A13D0B" w:rsidP="00C40682">
            <w:pPr>
              <w:autoSpaceDE w:val="0"/>
              <w:autoSpaceDN w:val="0"/>
              <w:adjustRightInd w:val="0"/>
              <w:spacing w:after="0" w:line="240" w:lineRule="auto"/>
              <w:rPr>
                <w:sz w:val="14"/>
                <w:szCs w:val="18"/>
              </w:rPr>
            </w:pPr>
            <w:r w:rsidRPr="00EF4555">
              <w:rPr>
                <w:sz w:val="14"/>
                <w:szCs w:val="18"/>
              </w:rPr>
              <w:t>Innovation</w:t>
            </w:r>
          </w:p>
        </w:tc>
        <w:tc>
          <w:tcPr>
            <w:tcW w:w="7371" w:type="dxa"/>
            <w:shd w:val="clear" w:color="auto" w:fill="FFFFFF" w:themeFill="background1"/>
          </w:tcPr>
          <w:p w:rsidR="00A13D0B" w:rsidRPr="00EF4555" w:rsidRDefault="00A13D0B" w:rsidP="00C40682">
            <w:pPr>
              <w:autoSpaceDE w:val="0"/>
              <w:autoSpaceDN w:val="0"/>
              <w:adjustRightInd w:val="0"/>
              <w:spacing w:after="0" w:line="240" w:lineRule="auto"/>
              <w:rPr>
                <w:sz w:val="14"/>
                <w:szCs w:val="18"/>
              </w:rPr>
            </w:pPr>
            <w:r w:rsidRPr="00EF4555">
              <w:rPr>
                <w:sz w:val="14"/>
                <w:szCs w:val="18"/>
              </w:rPr>
              <w:t>It describes patterns and potentials of regions in terms of knowledge and innovation economy and explores development opportunities (see from map 3.1.1 to 4.4.1). It provides some case studies on Cambridge, Oxford, Cardiff and West Wales (see Draft Final Scientific Report, Vol. 2, 3).</w:t>
            </w:r>
          </w:p>
        </w:tc>
      </w:tr>
    </w:tbl>
    <w:p w:rsidR="00A13D0B" w:rsidRDefault="00A13D0B" w:rsidP="00A13D0B">
      <w:r>
        <w:t>Furthermore, some of overall ESPON products of particular interest for territorial cooperation are:</w:t>
      </w:r>
    </w:p>
    <w:p w:rsidR="00A13D0B" w:rsidRDefault="00A13D0B" w:rsidP="00A13D0B">
      <w:pPr>
        <w:pStyle w:val="Listeavsnitt"/>
        <w:numPr>
          <w:ilvl w:val="0"/>
          <w:numId w:val="4"/>
        </w:numPr>
      </w:pPr>
      <w:r w:rsidRPr="00112693">
        <w:rPr>
          <w:b/>
        </w:rPr>
        <w:t>ESPON Synthesis report</w:t>
      </w:r>
      <w:r>
        <w:t xml:space="preserve"> “new evidence on smart, sustainable and inclusive territories” provides an easy to read overview on ESPON results available. </w:t>
      </w:r>
    </w:p>
    <w:p w:rsidR="00A13D0B" w:rsidRDefault="00A13D0B" w:rsidP="00A13D0B">
      <w:pPr>
        <w:pStyle w:val="Listeavsnitt"/>
        <w:numPr>
          <w:ilvl w:val="0"/>
          <w:numId w:val="4"/>
        </w:numPr>
      </w:pPr>
      <w:r w:rsidRPr="00112693">
        <w:rPr>
          <w:b/>
        </w:rPr>
        <w:t>ESPON Territorial Observations</w:t>
      </w:r>
      <w:r>
        <w:t xml:space="preserve"> is a publication series, which on a few pages presents policy relevant findings deriving from latest ESPON research. </w:t>
      </w:r>
    </w:p>
    <w:p w:rsidR="00A13D0B" w:rsidRPr="00A33083" w:rsidRDefault="00A13D0B" w:rsidP="00A13D0B">
      <w:pPr>
        <w:pStyle w:val="Listeavsnitt"/>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A13D0B" w:rsidRDefault="00A13D0B" w:rsidP="00A13D0B">
      <w:pPr>
        <w:pStyle w:val="Listeavsnitt"/>
        <w:numPr>
          <w:ilvl w:val="0"/>
          <w:numId w:val="4"/>
        </w:numPr>
      </w:pPr>
      <w:r w:rsidRPr="00112693">
        <w:rPr>
          <w:b/>
        </w:rPr>
        <w:t>ESPON Hyperaltas</w:t>
      </w:r>
      <w:r w:rsidRPr="000B4718">
        <w:t xml:space="preserve"> </w:t>
      </w:r>
      <w:r>
        <w:t xml:space="preserve">allows </w:t>
      </w:r>
      <w:r w:rsidR="00F4155E">
        <w:t>comparing and analysing</w:t>
      </w:r>
      <w:r>
        <w:t xml:space="preserve"> a</w:t>
      </w:r>
      <w:r w:rsidRPr="000B4718">
        <w:t xml:space="preserve"> region’s relative position at European, national and local scale for a </w:t>
      </w:r>
      <w:r>
        <w:t>wide range of</w:t>
      </w:r>
      <w:r w:rsidRPr="000B4718">
        <w:t xml:space="preserve"> criteria.</w:t>
      </w:r>
    </w:p>
    <w:p w:rsidR="00A13D0B" w:rsidRPr="00CD642B" w:rsidRDefault="00A13D0B" w:rsidP="00A13D0B">
      <w:pPr>
        <w:pStyle w:val="Listeavsnitt"/>
        <w:numPr>
          <w:ilvl w:val="0"/>
          <w:numId w:val="4"/>
        </w:numPr>
      </w:pPr>
      <w:r w:rsidRPr="00112693">
        <w:rPr>
          <w:b/>
        </w:rPr>
        <w:t>ESPON MapFinder</w:t>
      </w:r>
      <w:r w:rsidRPr="00CD642B">
        <w:t xml:space="preserve"> provides access to the most relevant ESPON maps resulting from ESPON projects and reports. </w:t>
      </w:r>
    </w:p>
    <w:p w:rsidR="00A13D0B" w:rsidRDefault="00A13D0B" w:rsidP="00A13D0B">
      <w:pPr>
        <w:pStyle w:val="Listeavsnitt"/>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D977F6" w:rsidRDefault="00A13D0B" w:rsidP="00A13D0B">
      <w:pPr>
        <w:jc w:val="center"/>
        <w:rPr>
          <w:b/>
        </w:rPr>
      </w:pPr>
      <w:r w:rsidRPr="00CD642B">
        <w:t>All ESPON reports and tools are freely available at</w:t>
      </w:r>
      <w:r>
        <w:br/>
      </w:r>
      <w:hyperlink r:id="rId26" w:history="1">
        <w:r w:rsidR="00D977F6" w:rsidRPr="0055383C">
          <w:rPr>
            <w:rStyle w:val="Hyperkobling"/>
            <w:b/>
          </w:rPr>
          <w:t>www.espon.eu</w:t>
        </w:r>
      </w:hyperlink>
    </w:p>
    <w:p w:rsidR="00D977F6" w:rsidRDefault="00D977F6">
      <w:pPr>
        <w:spacing w:after="0" w:line="240" w:lineRule="auto"/>
        <w:jc w:val="left"/>
        <w:rPr>
          <w:b/>
        </w:rPr>
      </w:pPr>
      <w:r>
        <w:rPr>
          <w:b/>
        </w:rPr>
        <w:br w:type="page"/>
      </w:r>
    </w:p>
    <w:p w:rsidR="00A13D0B" w:rsidRPr="00511A41" w:rsidRDefault="00A13D0B" w:rsidP="00A13D0B">
      <w:pPr>
        <w:jc w:val="center"/>
      </w:pPr>
    </w:p>
    <w:p w:rsidR="003C5D09" w:rsidRDefault="003C5D09" w:rsidP="003C5D09"/>
    <w:p w:rsidR="003C5D09" w:rsidRDefault="003C5D09" w:rsidP="003C5D09"/>
    <w:p w:rsidR="003C5D09" w:rsidRPr="003C5D09" w:rsidRDefault="003C5D09" w:rsidP="003C5D09"/>
    <w:p w:rsidR="00BC65E1" w:rsidRPr="00127102" w:rsidRDefault="001B300C" w:rsidP="00BC65E1">
      <w:pPr>
        <w:pStyle w:val="ESPONText"/>
        <w:rPr>
          <w:rFonts w:ascii="Arial" w:hAnsi="Arial" w:cs="Arial"/>
        </w:rPr>
      </w:pPr>
      <w:r>
        <w:rPr>
          <w:rFonts w:ascii="Arial" w:hAnsi="Arial" w:cs="Arial"/>
          <w:noProof/>
          <w:lang w:val="nb-NO" w:eastAsia="nb-NO"/>
        </w:rPr>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546069" w:rsidRPr="00546069">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820AE8" w:rsidRPr="00FB783A" w:rsidRDefault="00820AE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835" w:rsidRDefault="00C07835">
      <w:r>
        <w:separator/>
      </w:r>
    </w:p>
  </w:endnote>
  <w:endnote w:type="continuationSeparator" w:id="0">
    <w:p w:rsidR="00C07835" w:rsidRDefault="00C078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E8" w:rsidRDefault="00546069" w:rsidP="00BC65E1">
    <w:pPr>
      <w:framePr w:wrap="around" w:vAnchor="text" w:hAnchor="margin" w:xAlign="right" w:y="1"/>
      <w:rPr>
        <w:rStyle w:val="Sidetall"/>
      </w:rPr>
    </w:pPr>
    <w:r>
      <w:rPr>
        <w:rStyle w:val="Sidetall"/>
      </w:rPr>
      <w:fldChar w:fldCharType="begin"/>
    </w:r>
    <w:r w:rsidR="00820AE8">
      <w:rPr>
        <w:rStyle w:val="Sidetall"/>
      </w:rPr>
      <w:instrText xml:space="preserve">PAGE  </w:instrText>
    </w:r>
    <w:r>
      <w:rPr>
        <w:rStyle w:val="Sidetall"/>
      </w:rPr>
      <w:fldChar w:fldCharType="separate"/>
    </w:r>
    <w:r w:rsidR="00820AE8">
      <w:rPr>
        <w:rStyle w:val="Sidetall"/>
        <w:noProof/>
      </w:rPr>
      <w:t>3</w:t>
    </w:r>
    <w:r>
      <w:rPr>
        <w:rStyle w:val="Sidetall"/>
      </w:rPr>
      <w:fldChar w:fldCharType="end"/>
    </w:r>
  </w:p>
  <w:p w:rsidR="00820AE8" w:rsidRDefault="00820AE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E8" w:rsidRPr="00A15B61" w:rsidRDefault="00546069" w:rsidP="00BC65E1">
    <w:pPr>
      <w:pStyle w:val="Bunntekst"/>
      <w:framePr w:wrap="around" w:vAnchor="text" w:hAnchor="margin" w:xAlign="right" w:y="1"/>
      <w:rPr>
        <w:rStyle w:val="Sidetall"/>
      </w:rPr>
    </w:pPr>
    <w:r w:rsidRPr="00A15B61">
      <w:rPr>
        <w:rStyle w:val="Sidetall"/>
        <w:szCs w:val="20"/>
      </w:rPr>
      <w:fldChar w:fldCharType="begin"/>
    </w:r>
    <w:r w:rsidR="00820AE8">
      <w:rPr>
        <w:rStyle w:val="Sidetall"/>
        <w:szCs w:val="20"/>
      </w:rPr>
      <w:instrText>PAGE</w:instrText>
    </w:r>
    <w:r w:rsidR="00820AE8" w:rsidRPr="00A15B61">
      <w:rPr>
        <w:rStyle w:val="Sidetall"/>
        <w:szCs w:val="20"/>
      </w:rPr>
      <w:instrText xml:space="preserve">  </w:instrText>
    </w:r>
    <w:r w:rsidRPr="00A15B61">
      <w:rPr>
        <w:rStyle w:val="Sidetall"/>
        <w:szCs w:val="20"/>
      </w:rPr>
      <w:fldChar w:fldCharType="separate"/>
    </w:r>
    <w:r w:rsidR="00BE23BB">
      <w:rPr>
        <w:rStyle w:val="Sidetall"/>
        <w:noProof/>
        <w:szCs w:val="20"/>
      </w:rPr>
      <w:t>1</w:t>
    </w:r>
    <w:r w:rsidRPr="00A15B61">
      <w:rPr>
        <w:rStyle w:val="Sidetall"/>
        <w:szCs w:val="20"/>
      </w:rPr>
      <w:fldChar w:fldCharType="end"/>
    </w:r>
  </w:p>
  <w:p w:rsidR="00820AE8" w:rsidRPr="00A15B61" w:rsidRDefault="00820AE8" w:rsidP="000D11C2">
    <w:pPr>
      <w:pStyle w:val="Bunntekst"/>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E8" w:rsidRPr="00A15B61" w:rsidRDefault="00546069" w:rsidP="00BC65E1">
    <w:pPr>
      <w:pStyle w:val="Bunntekst"/>
      <w:framePr w:wrap="around" w:vAnchor="text" w:hAnchor="margin" w:xAlign="right" w:y="1"/>
      <w:rPr>
        <w:rStyle w:val="Sidetall"/>
      </w:rPr>
    </w:pPr>
    <w:r w:rsidRPr="00A15B61">
      <w:rPr>
        <w:rStyle w:val="Sidetall"/>
        <w:szCs w:val="20"/>
      </w:rPr>
      <w:fldChar w:fldCharType="begin"/>
    </w:r>
    <w:r w:rsidR="00820AE8">
      <w:rPr>
        <w:rStyle w:val="Sidetall"/>
        <w:szCs w:val="20"/>
      </w:rPr>
      <w:instrText>PAGE</w:instrText>
    </w:r>
    <w:r w:rsidR="00820AE8" w:rsidRPr="00A15B61">
      <w:rPr>
        <w:rStyle w:val="Sidetall"/>
        <w:szCs w:val="20"/>
      </w:rPr>
      <w:instrText xml:space="preserve">  </w:instrText>
    </w:r>
    <w:r w:rsidRPr="00A15B61">
      <w:rPr>
        <w:rStyle w:val="Sidetall"/>
        <w:szCs w:val="20"/>
      </w:rPr>
      <w:fldChar w:fldCharType="separate"/>
    </w:r>
    <w:r w:rsidR="00BE23BB">
      <w:rPr>
        <w:rStyle w:val="Sidetall"/>
        <w:noProof/>
        <w:szCs w:val="20"/>
      </w:rPr>
      <w:t>16</w:t>
    </w:r>
    <w:r w:rsidRPr="00A15B61">
      <w:rPr>
        <w:rStyle w:val="Sidetall"/>
        <w:szCs w:val="20"/>
      </w:rPr>
      <w:fldChar w:fldCharType="end"/>
    </w:r>
  </w:p>
  <w:p w:rsidR="00820AE8" w:rsidRPr="00A15B61" w:rsidRDefault="00820AE8" w:rsidP="00C4344F">
    <w:pPr>
      <w:pStyle w:val="Bunntekst"/>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835" w:rsidRDefault="00C07835">
      <w:r>
        <w:separator/>
      </w:r>
    </w:p>
  </w:footnote>
  <w:footnote w:type="continuationSeparator" w:id="0">
    <w:p w:rsidR="00C07835" w:rsidRDefault="00C078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E8" w:rsidRDefault="00546069">
    <w:pPr>
      <w:pStyle w:val="Topptekst"/>
    </w:pPr>
    <w:r w:rsidRPr="00546069">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820AE8" w:rsidRDefault="00820AE8" w:rsidP="00BC65E1">
                <w:pPr>
                  <w:spacing w:line="240" w:lineRule="auto"/>
                  <w:ind w:left="425" w:right="530"/>
                  <w:jc w:val="center"/>
                  <w:rPr>
                    <w:rFonts w:ascii="Arial" w:hAnsi="Arial" w:cs="Arial"/>
                    <w:sz w:val="60"/>
                    <w:szCs w:val="60"/>
                  </w:rPr>
                </w:pPr>
                <w:r>
                  <w:rPr>
                    <w:rFonts w:ascii="Arial" w:hAnsi="Arial" w:cs="Arial"/>
                    <w:sz w:val="60"/>
                    <w:szCs w:val="60"/>
                  </w:rPr>
                  <w:t>ESPON</w:t>
                </w:r>
                <w:r>
                  <w:rPr>
                    <w:rFonts w:ascii="Arial" w:hAnsi="Arial" w:cs="Arial"/>
                    <w:sz w:val="60"/>
                    <w:szCs w:val="60"/>
                  </w:rPr>
                  <w:br/>
                  <w:t xml:space="preserve">Factsheet </w:t>
                </w:r>
              </w:p>
              <w:p w:rsidR="00820AE8" w:rsidRPr="00721B03" w:rsidRDefault="00820AE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820AE8">
      <w:rPr>
        <w:noProof/>
        <w:lang w:val="nb-NO" w:eastAsia="nb-NO"/>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E8" w:rsidRDefault="00820AE8">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3A4112"/>
    <w:lvl w:ilvl="0">
      <w:start w:val="1"/>
      <w:numFmt w:val="decimal"/>
      <w:lvlText w:val="%1."/>
      <w:lvlJc w:val="left"/>
      <w:pPr>
        <w:tabs>
          <w:tab w:val="num" w:pos="1492"/>
        </w:tabs>
        <w:ind w:left="1492" w:hanging="360"/>
      </w:pPr>
    </w:lvl>
  </w:abstractNum>
  <w:abstractNum w:abstractNumId="1">
    <w:nsid w:val="FFFFFF7D"/>
    <w:multiLevelType w:val="singleLevel"/>
    <w:tmpl w:val="98BA8F86"/>
    <w:lvl w:ilvl="0">
      <w:start w:val="1"/>
      <w:numFmt w:val="decimal"/>
      <w:lvlText w:val="%1."/>
      <w:lvlJc w:val="left"/>
      <w:pPr>
        <w:tabs>
          <w:tab w:val="num" w:pos="1209"/>
        </w:tabs>
        <w:ind w:left="1209" w:hanging="360"/>
      </w:pPr>
    </w:lvl>
  </w:abstractNum>
  <w:abstractNum w:abstractNumId="2">
    <w:nsid w:val="FFFFFF7E"/>
    <w:multiLevelType w:val="singleLevel"/>
    <w:tmpl w:val="382C79E4"/>
    <w:lvl w:ilvl="0">
      <w:start w:val="1"/>
      <w:numFmt w:val="decimal"/>
      <w:lvlText w:val="%1."/>
      <w:lvlJc w:val="left"/>
      <w:pPr>
        <w:tabs>
          <w:tab w:val="num" w:pos="926"/>
        </w:tabs>
        <w:ind w:left="926" w:hanging="360"/>
      </w:pPr>
    </w:lvl>
  </w:abstractNum>
  <w:abstractNum w:abstractNumId="3">
    <w:nsid w:val="FFFFFF7F"/>
    <w:multiLevelType w:val="singleLevel"/>
    <w:tmpl w:val="B46E98AA"/>
    <w:lvl w:ilvl="0">
      <w:start w:val="1"/>
      <w:numFmt w:val="decimal"/>
      <w:lvlText w:val="%1."/>
      <w:lvlJc w:val="left"/>
      <w:pPr>
        <w:tabs>
          <w:tab w:val="num" w:pos="643"/>
        </w:tabs>
        <w:ind w:left="643" w:hanging="360"/>
      </w:pPr>
    </w:lvl>
  </w:abstractNum>
  <w:abstractNum w:abstractNumId="4">
    <w:nsid w:val="FFFFFF80"/>
    <w:multiLevelType w:val="singleLevel"/>
    <w:tmpl w:val="E92CEB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0ACEA2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C6A0D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34A8C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A4A1A6A"/>
    <w:lvl w:ilvl="0">
      <w:start w:val="1"/>
      <w:numFmt w:val="decimal"/>
      <w:lvlText w:val="%1."/>
      <w:lvlJc w:val="left"/>
      <w:pPr>
        <w:tabs>
          <w:tab w:val="num" w:pos="360"/>
        </w:tabs>
        <w:ind w:left="360" w:hanging="360"/>
      </w:pPr>
    </w:lvl>
  </w:abstractNum>
  <w:abstractNum w:abstractNumId="9">
    <w:nsid w:val="FFFFFF89"/>
    <w:multiLevelType w:val="singleLevel"/>
    <w:tmpl w:val="D0084C1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BC7"/>
    <w:rsid w:val="00011C3D"/>
    <w:rsid w:val="00012892"/>
    <w:rsid w:val="00016919"/>
    <w:rsid w:val="000172BC"/>
    <w:rsid w:val="00020978"/>
    <w:rsid w:val="0002197F"/>
    <w:rsid w:val="00021A06"/>
    <w:rsid w:val="00030CE4"/>
    <w:rsid w:val="00031AEC"/>
    <w:rsid w:val="00032745"/>
    <w:rsid w:val="00034626"/>
    <w:rsid w:val="00036BAE"/>
    <w:rsid w:val="00037716"/>
    <w:rsid w:val="00041991"/>
    <w:rsid w:val="00041A22"/>
    <w:rsid w:val="0004221D"/>
    <w:rsid w:val="0004296C"/>
    <w:rsid w:val="00043F45"/>
    <w:rsid w:val="00050AB6"/>
    <w:rsid w:val="000527DC"/>
    <w:rsid w:val="00054E00"/>
    <w:rsid w:val="00054E1F"/>
    <w:rsid w:val="00055A97"/>
    <w:rsid w:val="000576BC"/>
    <w:rsid w:val="00061CE3"/>
    <w:rsid w:val="00063161"/>
    <w:rsid w:val="00064853"/>
    <w:rsid w:val="00064E27"/>
    <w:rsid w:val="000664C7"/>
    <w:rsid w:val="00072557"/>
    <w:rsid w:val="00073957"/>
    <w:rsid w:val="00073BFF"/>
    <w:rsid w:val="000757CA"/>
    <w:rsid w:val="00077C32"/>
    <w:rsid w:val="000812A6"/>
    <w:rsid w:val="00083607"/>
    <w:rsid w:val="00085BAD"/>
    <w:rsid w:val="00086387"/>
    <w:rsid w:val="00092660"/>
    <w:rsid w:val="000A0127"/>
    <w:rsid w:val="000A0B9B"/>
    <w:rsid w:val="000A0F69"/>
    <w:rsid w:val="000A647A"/>
    <w:rsid w:val="000B3819"/>
    <w:rsid w:val="000B4718"/>
    <w:rsid w:val="000B58AA"/>
    <w:rsid w:val="000B7A7D"/>
    <w:rsid w:val="000B7F4E"/>
    <w:rsid w:val="000C36A1"/>
    <w:rsid w:val="000C4070"/>
    <w:rsid w:val="000C716F"/>
    <w:rsid w:val="000D0D18"/>
    <w:rsid w:val="000D11C2"/>
    <w:rsid w:val="000D57C9"/>
    <w:rsid w:val="000D6C64"/>
    <w:rsid w:val="000D7CC4"/>
    <w:rsid w:val="000E592C"/>
    <w:rsid w:val="000E6CC8"/>
    <w:rsid w:val="000E76EB"/>
    <w:rsid w:val="000F1BA2"/>
    <w:rsid w:val="000F2140"/>
    <w:rsid w:val="000F4706"/>
    <w:rsid w:val="00105B9D"/>
    <w:rsid w:val="001120BB"/>
    <w:rsid w:val="00112693"/>
    <w:rsid w:val="001245F9"/>
    <w:rsid w:val="00124BDE"/>
    <w:rsid w:val="0012533B"/>
    <w:rsid w:val="001260F4"/>
    <w:rsid w:val="00127104"/>
    <w:rsid w:val="00133602"/>
    <w:rsid w:val="00134DC7"/>
    <w:rsid w:val="0013600B"/>
    <w:rsid w:val="00143D7A"/>
    <w:rsid w:val="00150A5A"/>
    <w:rsid w:val="00150FCB"/>
    <w:rsid w:val="00151954"/>
    <w:rsid w:val="00152974"/>
    <w:rsid w:val="00153108"/>
    <w:rsid w:val="0015691A"/>
    <w:rsid w:val="00162FF6"/>
    <w:rsid w:val="0016435C"/>
    <w:rsid w:val="00172B99"/>
    <w:rsid w:val="00177F91"/>
    <w:rsid w:val="00180D67"/>
    <w:rsid w:val="0018267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6F8"/>
    <w:rsid w:val="001B6A94"/>
    <w:rsid w:val="001C043A"/>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63BC"/>
    <w:rsid w:val="002371D8"/>
    <w:rsid w:val="0023799F"/>
    <w:rsid w:val="00253237"/>
    <w:rsid w:val="0025373C"/>
    <w:rsid w:val="0026077F"/>
    <w:rsid w:val="00264534"/>
    <w:rsid w:val="00265996"/>
    <w:rsid w:val="00276DA6"/>
    <w:rsid w:val="00281A82"/>
    <w:rsid w:val="00282854"/>
    <w:rsid w:val="00284372"/>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CBC"/>
    <w:rsid w:val="002C4473"/>
    <w:rsid w:val="002C780D"/>
    <w:rsid w:val="002D1443"/>
    <w:rsid w:val="002D3185"/>
    <w:rsid w:val="002D429C"/>
    <w:rsid w:val="002D5B13"/>
    <w:rsid w:val="002E0490"/>
    <w:rsid w:val="002E20E5"/>
    <w:rsid w:val="002E529A"/>
    <w:rsid w:val="002E619E"/>
    <w:rsid w:val="002F1D75"/>
    <w:rsid w:val="002F4B38"/>
    <w:rsid w:val="002F713F"/>
    <w:rsid w:val="00303833"/>
    <w:rsid w:val="00304555"/>
    <w:rsid w:val="003052B2"/>
    <w:rsid w:val="0030699A"/>
    <w:rsid w:val="00322B33"/>
    <w:rsid w:val="003253E2"/>
    <w:rsid w:val="00330CBF"/>
    <w:rsid w:val="003351B4"/>
    <w:rsid w:val="00337519"/>
    <w:rsid w:val="00337872"/>
    <w:rsid w:val="00344591"/>
    <w:rsid w:val="00351255"/>
    <w:rsid w:val="00351563"/>
    <w:rsid w:val="003526D5"/>
    <w:rsid w:val="00352B1D"/>
    <w:rsid w:val="00352D76"/>
    <w:rsid w:val="00353B5C"/>
    <w:rsid w:val="00353E8C"/>
    <w:rsid w:val="0035504D"/>
    <w:rsid w:val="00362CD8"/>
    <w:rsid w:val="00362D4C"/>
    <w:rsid w:val="00367B72"/>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B0962"/>
    <w:rsid w:val="003B21D4"/>
    <w:rsid w:val="003C112D"/>
    <w:rsid w:val="003C261B"/>
    <w:rsid w:val="003C354A"/>
    <w:rsid w:val="003C3688"/>
    <w:rsid w:val="003C5D09"/>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4C3"/>
    <w:rsid w:val="00406917"/>
    <w:rsid w:val="0040760B"/>
    <w:rsid w:val="00410A29"/>
    <w:rsid w:val="004122A0"/>
    <w:rsid w:val="0041256F"/>
    <w:rsid w:val="004132A6"/>
    <w:rsid w:val="004173E4"/>
    <w:rsid w:val="004177FC"/>
    <w:rsid w:val="0042391C"/>
    <w:rsid w:val="0042502E"/>
    <w:rsid w:val="004277D0"/>
    <w:rsid w:val="00433090"/>
    <w:rsid w:val="004353CB"/>
    <w:rsid w:val="0044029A"/>
    <w:rsid w:val="0044604E"/>
    <w:rsid w:val="00447210"/>
    <w:rsid w:val="00454825"/>
    <w:rsid w:val="00456E90"/>
    <w:rsid w:val="004604F3"/>
    <w:rsid w:val="0046177E"/>
    <w:rsid w:val="0046572E"/>
    <w:rsid w:val="00466413"/>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1B5B"/>
    <w:rsid w:val="004E39BD"/>
    <w:rsid w:val="004E3B1D"/>
    <w:rsid w:val="004E4EFD"/>
    <w:rsid w:val="004F0F17"/>
    <w:rsid w:val="004F26B8"/>
    <w:rsid w:val="004F4013"/>
    <w:rsid w:val="004F6946"/>
    <w:rsid w:val="005023B0"/>
    <w:rsid w:val="00502D0D"/>
    <w:rsid w:val="00502E0A"/>
    <w:rsid w:val="00505959"/>
    <w:rsid w:val="005070C8"/>
    <w:rsid w:val="00511059"/>
    <w:rsid w:val="005131EA"/>
    <w:rsid w:val="00520876"/>
    <w:rsid w:val="00524215"/>
    <w:rsid w:val="00525D47"/>
    <w:rsid w:val="00526E5A"/>
    <w:rsid w:val="00531D8E"/>
    <w:rsid w:val="005322AA"/>
    <w:rsid w:val="00541834"/>
    <w:rsid w:val="005433C5"/>
    <w:rsid w:val="00544CC3"/>
    <w:rsid w:val="00545F8A"/>
    <w:rsid w:val="00546069"/>
    <w:rsid w:val="005463AC"/>
    <w:rsid w:val="00552FAD"/>
    <w:rsid w:val="00556D25"/>
    <w:rsid w:val="00562AB0"/>
    <w:rsid w:val="0056756F"/>
    <w:rsid w:val="00571653"/>
    <w:rsid w:val="00571A61"/>
    <w:rsid w:val="00571C81"/>
    <w:rsid w:val="0057346D"/>
    <w:rsid w:val="005761A6"/>
    <w:rsid w:val="0057623F"/>
    <w:rsid w:val="00582C35"/>
    <w:rsid w:val="00583620"/>
    <w:rsid w:val="00585345"/>
    <w:rsid w:val="00592846"/>
    <w:rsid w:val="00593AD0"/>
    <w:rsid w:val="00593B7A"/>
    <w:rsid w:val="00595161"/>
    <w:rsid w:val="005967A2"/>
    <w:rsid w:val="00597872"/>
    <w:rsid w:val="005A3E20"/>
    <w:rsid w:val="005A5323"/>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24DD"/>
    <w:rsid w:val="0060091E"/>
    <w:rsid w:val="00610DAB"/>
    <w:rsid w:val="0061660C"/>
    <w:rsid w:val="006166FD"/>
    <w:rsid w:val="00616DE9"/>
    <w:rsid w:val="0061757F"/>
    <w:rsid w:val="006326AB"/>
    <w:rsid w:val="00633FE2"/>
    <w:rsid w:val="0063504F"/>
    <w:rsid w:val="00637033"/>
    <w:rsid w:val="00643649"/>
    <w:rsid w:val="006441ED"/>
    <w:rsid w:val="00645CD2"/>
    <w:rsid w:val="0065085F"/>
    <w:rsid w:val="00654361"/>
    <w:rsid w:val="0065695B"/>
    <w:rsid w:val="00657472"/>
    <w:rsid w:val="00657A40"/>
    <w:rsid w:val="00657E48"/>
    <w:rsid w:val="00660A8B"/>
    <w:rsid w:val="0066206E"/>
    <w:rsid w:val="0066301D"/>
    <w:rsid w:val="00664ACE"/>
    <w:rsid w:val="00664B05"/>
    <w:rsid w:val="006743AD"/>
    <w:rsid w:val="0068242A"/>
    <w:rsid w:val="00682613"/>
    <w:rsid w:val="00682B57"/>
    <w:rsid w:val="006847A3"/>
    <w:rsid w:val="00690277"/>
    <w:rsid w:val="0069219F"/>
    <w:rsid w:val="00695762"/>
    <w:rsid w:val="006A15A6"/>
    <w:rsid w:val="006A17A6"/>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48F"/>
    <w:rsid w:val="007656EC"/>
    <w:rsid w:val="00770B59"/>
    <w:rsid w:val="00771219"/>
    <w:rsid w:val="00771843"/>
    <w:rsid w:val="0077695D"/>
    <w:rsid w:val="0078171A"/>
    <w:rsid w:val="00782183"/>
    <w:rsid w:val="00782202"/>
    <w:rsid w:val="007831EE"/>
    <w:rsid w:val="00783B76"/>
    <w:rsid w:val="00783F35"/>
    <w:rsid w:val="007842F4"/>
    <w:rsid w:val="00787861"/>
    <w:rsid w:val="00791D68"/>
    <w:rsid w:val="0079272B"/>
    <w:rsid w:val="007949EF"/>
    <w:rsid w:val="0079633F"/>
    <w:rsid w:val="0079657F"/>
    <w:rsid w:val="00796C3C"/>
    <w:rsid w:val="007A48EF"/>
    <w:rsid w:val="007A4E31"/>
    <w:rsid w:val="007A508C"/>
    <w:rsid w:val="007A5C06"/>
    <w:rsid w:val="007A5D52"/>
    <w:rsid w:val="007A5E35"/>
    <w:rsid w:val="007B19A0"/>
    <w:rsid w:val="007B3652"/>
    <w:rsid w:val="007B59B6"/>
    <w:rsid w:val="007B7ADB"/>
    <w:rsid w:val="007C0EFF"/>
    <w:rsid w:val="007C52E9"/>
    <w:rsid w:val="007E2555"/>
    <w:rsid w:val="007E3756"/>
    <w:rsid w:val="007F16DF"/>
    <w:rsid w:val="007F2A06"/>
    <w:rsid w:val="008044DD"/>
    <w:rsid w:val="00804BA1"/>
    <w:rsid w:val="00805E5D"/>
    <w:rsid w:val="00812490"/>
    <w:rsid w:val="00812ECD"/>
    <w:rsid w:val="008132AD"/>
    <w:rsid w:val="00820AE8"/>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26ED"/>
    <w:rsid w:val="0089569C"/>
    <w:rsid w:val="00895E5B"/>
    <w:rsid w:val="00896802"/>
    <w:rsid w:val="008A26E6"/>
    <w:rsid w:val="008A3B96"/>
    <w:rsid w:val="008A63DF"/>
    <w:rsid w:val="008A68FF"/>
    <w:rsid w:val="008B1002"/>
    <w:rsid w:val="008B2C0A"/>
    <w:rsid w:val="008B577E"/>
    <w:rsid w:val="008B582B"/>
    <w:rsid w:val="008B5BDF"/>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21D38"/>
    <w:rsid w:val="0092562C"/>
    <w:rsid w:val="00927D4F"/>
    <w:rsid w:val="00930989"/>
    <w:rsid w:val="00931A61"/>
    <w:rsid w:val="0093373B"/>
    <w:rsid w:val="0093778A"/>
    <w:rsid w:val="0094059F"/>
    <w:rsid w:val="00943F1C"/>
    <w:rsid w:val="00944EBE"/>
    <w:rsid w:val="00946375"/>
    <w:rsid w:val="00951B33"/>
    <w:rsid w:val="00951F28"/>
    <w:rsid w:val="00952C12"/>
    <w:rsid w:val="009540EB"/>
    <w:rsid w:val="00955476"/>
    <w:rsid w:val="009607D7"/>
    <w:rsid w:val="00971C9B"/>
    <w:rsid w:val="009727D3"/>
    <w:rsid w:val="009729A4"/>
    <w:rsid w:val="00973416"/>
    <w:rsid w:val="00973678"/>
    <w:rsid w:val="00974016"/>
    <w:rsid w:val="00974649"/>
    <w:rsid w:val="00977913"/>
    <w:rsid w:val="00977AED"/>
    <w:rsid w:val="00983AB6"/>
    <w:rsid w:val="0099613A"/>
    <w:rsid w:val="00997518"/>
    <w:rsid w:val="009A379F"/>
    <w:rsid w:val="009A768F"/>
    <w:rsid w:val="009A7921"/>
    <w:rsid w:val="009B20D3"/>
    <w:rsid w:val="009B4050"/>
    <w:rsid w:val="009B592C"/>
    <w:rsid w:val="009C0409"/>
    <w:rsid w:val="009C12E9"/>
    <w:rsid w:val="009C21A1"/>
    <w:rsid w:val="009C7E18"/>
    <w:rsid w:val="009D1667"/>
    <w:rsid w:val="009D1D06"/>
    <w:rsid w:val="009D2E8A"/>
    <w:rsid w:val="009D3B18"/>
    <w:rsid w:val="009D3F39"/>
    <w:rsid w:val="009D457D"/>
    <w:rsid w:val="009D681C"/>
    <w:rsid w:val="009E0BD5"/>
    <w:rsid w:val="009E1C7F"/>
    <w:rsid w:val="009E361D"/>
    <w:rsid w:val="009E62EA"/>
    <w:rsid w:val="009E70A1"/>
    <w:rsid w:val="009F21F0"/>
    <w:rsid w:val="009F2583"/>
    <w:rsid w:val="009F3D83"/>
    <w:rsid w:val="009F7417"/>
    <w:rsid w:val="009F77A8"/>
    <w:rsid w:val="00A0050C"/>
    <w:rsid w:val="00A02FD6"/>
    <w:rsid w:val="00A12916"/>
    <w:rsid w:val="00A13D0B"/>
    <w:rsid w:val="00A13E7F"/>
    <w:rsid w:val="00A14BAC"/>
    <w:rsid w:val="00A15B61"/>
    <w:rsid w:val="00A16062"/>
    <w:rsid w:val="00A2166F"/>
    <w:rsid w:val="00A21C1D"/>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6569B"/>
    <w:rsid w:val="00A7369A"/>
    <w:rsid w:val="00A73F5F"/>
    <w:rsid w:val="00A76129"/>
    <w:rsid w:val="00A76236"/>
    <w:rsid w:val="00A76F72"/>
    <w:rsid w:val="00A836AD"/>
    <w:rsid w:val="00A91FBB"/>
    <w:rsid w:val="00A9486C"/>
    <w:rsid w:val="00A967C7"/>
    <w:rsid w:val="00A9708D"/>
    <w:rsid w:val="00AA2C67"/>
    <w:rsid w:val="00AA4952"/>
    <w:rsid w:val="00AA5486"/>
    <w:rsid w:val="00AA78C4"/>
    <w:rsid w:val="00AB0F46"/>
    <w:rsid w:val="00AB16F9"/>
    <w:rsid w:val="00AB23D7"/>
    <w:rsid w:val="00AB243A"/>
    <w:rsid w:val="00AB5BB9"/>
    <w:rsid w:val="00AB6431"/>
    <w:rsid w:val="00AC3144"/>
    <w:rsid w:val="00AC52D7"/>
    <w:rsid w:val="00AC55B7"/>
    <w:rsid w:val="00AC7369"/>
    <w:rsid w:val="00AD1095"/>
    <w:rsid w:val="00AD5E29"/>
    <w:rsid w:val="00AD6766"/>
    <w:rsid w:val="00AE7F5D"/>
    <w:rsid w:val="00AF0B72"/>
    <w:rsid w:val="00AF1C0F"/>
    <w:rsid w:val="00AF35C2"/>
    <w:rsid w:val="00AF42C2"/>
    <w:rsid w:val="00AF42DC"/>
    <w:rsid w:val="00AF47EF"/>
    <w:rsid w:val="00AF5316"/>
    <w:rsid w:val="00AF61D7"/>
    <w:rsid w:val="00AF6A34"/>
    <w:rsid w:val="00B04642"/>
    <w:rsid w:val="00B06874"/>
    <w:rsid w:val="00B07EAE"/>
    <w:rsid w:val="00B1075F"/>
    <w:rsid w:val="00B111E1"/>
    <w:rsid w:val="00B135A2"/>
    <w:rsid w:val="00B13697"/>
    <w:rsid w:val="00B25F6C"/>
    <w:rsid w:val="00B274EC"/>
    <w:rsid w:val="00B2763C"/>
    <w:rsid w:val="00B27F58"/>
    <w:rsid w:val="00B31866"/>
    <w:rsid w:val="00B32004"/>
    <w:rsid w:val="00B3257D"/>
    <w:rsid w:val="00B328F8"/>
    <w:rsid w:val="00B43B1B"/>
    <w:rsid w:val="00B45029"/>
    <w:rsid w:val="00B472A4"/>
    <w:rsid w:val="00B47314"/>
    <w:rsid w:val="00B47EEE"/>
    <w:rsid w:val="00B51A9A"/>
    <w:rsid w:val="00B5300E"/>
    <w:rsid w:val="00B5450D"/>
    <w:rsid w:val="00B54542"/>
    <w:rsid w:val="00B55DC5"/>
    <w:rsid w:val="00B57F87"/>
    <w:rsid w:val="00B57FCF"/>
    <w:rsid w:val="00B601F1"/>
    <w:rsid w:val="00B6026B"/>
    <w:rsid w:val="00B61D5A"/>
    <w:rsid w:val="00B6761B"/>
    <w:rsid w:val="00B703D4"/>
    <w:rsid w:val="00B7058E"/>
    <w:rsid w:val="00B728C8"/>
    <w:rsid w:val="00B72BED"/>
    <w:rsid w:val="00B75224"/>
    <w:rsid w:val="00B757EC"/>
    <w:rsid w:val="00B77BD4"/>
    <w:rsid w:val="00B82E7B"/>
    <w:rsid w:val="00B85AA5"/>
    <w:rsid w:val="00B8613C"/>
    <w:rsid w:val="00B863CA"/>
    <w:rsid w:val="00B872B1"/>
    <w:rsid w:val="00B92990"/>
    <w:rsid w:val="00B9562C"/>
    <w:rsid w:val="00B969F0"/>
    <w:rsid w:val="00BA0117"/>
    <w:rsid w:val="00BA05C6"/>
    <w:rsid w:val="00BA1233"/>
    <w:rsid w:val="00BA161A"/>
    <w:rsid w:val="00BA5459"/>
    <w:rsid w:val="00BA5775"/>
    <w:rsid w:val="00BA5AB5"/>
    <w:rsid w:val="00BA651D"/>
    <w:rsid w:val="00BB0721"/>
    <w:rsid w:val="00BB4D72"/>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23BB"/>
    <w:rsid w:val="00BE2E3A"/>
    <w:rsid w:val="00BE4274"/>
    <w:rsid w:val="00BE6599"/>
    <w:rsid w:val="00BF378B"/>
    <w:rsid w:val="00BF3C62"/>
    <w:rsid w:val="00BF56C7"/>
    <w:rsid w:val="00BF7B01"/>
    <w:rsid w:val="00C00C96"/>
    <w:rsid w:val="00C019EF"/>
    <w:rsid w:val="00C033E5"/>
    <w:rsid w:val="00C04A1F"/>
    <w:rsid w:val="00C04A31"/>
    <w:rsid w:val="00C0554A"/>
    <w:rsid w:val="00C07835"/>
    <w:rsid w:val="00C1059F"/>
    <w:rsid w:val="00C11D58"/>
    <w:rsid w:val="00C13A33"/>
    <w:rsid w:val="00C1408A"/>
    <w:rsid w:val="00C14261"/>
    <w:rsid w:val="00C160A4"/>
    <w:rsid w:val="00C22083"/>
    <w:rsid w:val="00C25CB5"/>
    <w:rsid w:val="00C26F3B"/>
    <w:rsid w:val="00C30BF8"/>
    <w:rsid w:val="00C32582"/>
    <w:rsid w:val="00C33228"/>
    <w:rsid w:val="00C33A99"/>
    <w:rsid w:val="00C34A6E"/>
    <w:rsid w:val="00C421CA"/>
    <w:rsid w:val="00C4344F"/>
    <w:rsid w:val="00C46385"/>
    <w:rsid w:val="00C5084D"/>
    <w:rsid w:val="00C508D6"/>
    <w:rsid w:val="00C51A75"/>
    <w:rsid w:val="00C5255D"/>
    <w:rsid w:val="00C5462E"/>
    <w:rsid w:val="00C603EB"/>
    <w:rsid w:val="00C606EA"/>
    <w:rsid w:val="00C664BB"/>
    <w:rsid w:val="00C675CC"/>
    <w:rsid w:val="00C7069F"/>
    <w:rsid w:val="00C71718"/>
    <w:rsid w:val="00C7538F"/>
    <w:rsid w:val="00C76A20"/>
    <w:rsid w:val="00C77C7E"/>
    <w:rsid w:val="00C77D2A"/>
    <w:rsid w:val="00C809FF"/>
    <w:rsid w:val="00C9580A"/>
    <w:rsid w:val="00C9704F"/>
    <w:rsid w:val="00CA3C33"/>
    <w:rsid w:val="00CA4181"/>
    <w:rsid w:val="00CA4369"/>
    <w:rsid w:val="00CA6583"/>
    <w:rsid w:val="00CB23CC"/>
    <w:rsid w:val="00CB28C9"/>
    <w:rsid w:val="00CB672B"/>
    <w:rsid w:val="00CB7211"/>
    <w:rsid w:val="00CC1A98"/>
    <w:rsid w:val="00CC6723"/>
    <w:rsid w:val="00CC7EC5"/>
    <w:rsid w:val="00CD45BE"/>
    <w:rsid w:val="00CD642B"/>
    <w:rsid w:val="00CD6A77"/>
    <w:rsid w:val="00CD6FEB"/>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339F7"/>
    <w:rsid w:val="00D401D5"/>
    <w:rsid w:val="00D41605"/>
    <w:rsid w:val="00D42ABD"/>
    <w:rsid w:val="00D42E31"/>
    <w:rsid w:val="00D42EB6"/>
    <w:rsid w:val="00D4419C"/>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977F6"/>
    <w:rsid w:val="00DA1668"/>
    <w:rsid w:val="00DA20D3"/>
    <w:rsid w:val="00DA3852"/>
    <w:rsid w:val="00DA49C4"/>
    <w:rsid w:val="00DA63BF"/>
    <w:rsid w:val="00DA6F83"/>
    <w:rsid w:val="00DB4000"/>
    <w:rsid w:val="00DB42BD"/>
    <w:rsid w:val="00DB605B"/>
    <w:rsid w:val="00DB605C"/>
    <w:rsid w:val="00DC0823"/>
    <w:rsid w:val="00DC21BC"/>
    <w:rsid w:val="00DC3E4C"/>
    <w:rsid w:val="00DC55C7"/>
    <w:rsid w:val="00DC60A4"/>
    <w:rsid w:val="00DC6422"/>
    <w:rsid w:val="00DD0539"/>
    <w:rsid w:val="00DE0D99"/>
    <w:rsid w:val="00DE584B"/>
    <w:rsid w:val="00DF22D8"/>
    <w:rsid w:val="00DF76E3"/>
    <w:rsid w:val="00E02024"/>
    <w:rsid w:val="00E02305"/>
    <w:rsid w:val="00E03013"/>
    <w:rsid w:val="00E03104"/>
    <w:rsid w:val="00E03ABA"/>
    <w:rsid w:val="00E04EC2"/>
    <w:rsid w:val="00E07A32"/>
    <w:rsid w:val="00E10213"/>
    <w:rsid w:val="00E108F5"/>
    <w:rsid w:val="00E11808"/>
    <w:rsid w:val="00E21E7C"/>
    <w:rsid w:val="00E23DF3"/>
    <w:rsid w:val="00E26C9A"/>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4513"/>
    <w:rsid w:val="00E576B9"/>
    <w:rsid w:val="00E57FE0"/>
    <w:rsid w:val="00E613A3"/>
    <w:rsid w:val="00E621AC"/>
    <w:rsid w:val="00E6468A"/>
    <w:rsid w:val="00E701B2"/>
    <w:rsid w:val="00E709E6"/>
    <w:rsid w:val="00E71207"/>
    <w:rsid w:val="00E727A7"/>
    <w:rsid w:val="00E73444"/>
    <w:rsid w:val="00E742A9"/>
    <w:rsid w:val="00E766D1"/>
    <w:rsid w:val="00E77F26"/>
    <w:rsid w:val="00E855FF"/>
    <w:rsid w:val="00E933E0"/>
    <w:rsid w:val="00E97A65"/>
    <w:rsid w:val="00EA0966"/>
    <w:rsid w:val="00EA0FFC"/>
    <w:rsid w:val="00EA337F"/>
    <w:rsid w:val="00EA5A90"/>
    <w:rsid w:val="00EB092A"/>
    <w:rsid w:val="00EB1FF2"/>
    <w:rsid w:val="00EB6387"/>
    <w:rsid w:val="00EB7D50"/>
    <w:rsid w:val="00EC4562"/>
    <w:rsid w:val="00EC6878"/>
    <w:rsid w:val="00ED077F"/>
    <w:rsid w:val="00ED236B"/>
    <w:rsid w:val="00ED58B7"/>
    <w:rsid w:val="00ED5923"/>
    <w:rsid w:val="00ED646D"/>
    <w:rsid w:val="00EE082D"/>
    <w:rsid w:val="00EE21A1"/>
    <w:rsid w:val="00EE2B02"/>
    <w:rsid w:val="00EE31B3"/>
    <w:rsid w:val="00EE472A"/>
    <w:rsid w:val="00EE755E"/>
    <w:rsid w:val="00EF11A3"/>
    <w:rsid w:val="00EF4F49"/>
    <w:rsid w:val="00EF6DEE"/>
    <w:rsid w:val="00F023B8"/>
    <w:rsid w:val="00F11DC3"/>
    <w:rsid w:val="00F20E21"/>
    <w:rsid w:val="00F212C3"/>
    <w:rsid w:val="00F252AD"/>
    <w:rsid w:val="00F26225"/>
    <w:rsid w:val="00F320EF"/>
    <w:rsid w:val="00F3218A"/>
    <w:rsid w:val="00F34787"/>
    <w:rsid w:val="00F358CB"/>
    <w:rsid w:val="00F405D2"/>
    <w:rsid w:val="00F4155E"/>
    <w:rsid w:val="00F47743"/>
    <w:rsid w:val="00F519FB"/>
    <w:rsid w:val="00F54E2D"/>
    <w:rsid w:val="00F57119"/>
    <w:rsid w:val="00F60CB5"/>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12C8"/>
    <w:rsid w:val="00FD1C81"/>
    <w:rsid w:val="00FD3874"/>
    <w:rsid w:val="00FD413B"/>
    <w:rsid w:val="00FD4E3A"/>
    <w:rsid w:val="00FD536D"/>
    <w:rsid w:val="00FD54FE"/>
    <w:rsid w:val="00FD6260"/>
    <w:rsid w:val="00FD70D0"/>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Overskrift1">
    <w:name w:val="heading 1"/>
    <w:basedOn w:val="Normal"/>
    <w:next w:val="Normal"/>
    <w:link w:val="Overskrift1Tegn"/>
    <w:autoRedefine/>
    <w:qFormat/>
    <w:rsid w:val="00001320"/>
    <w:pPr>
      <w:keepNext/>
      <w:numPr>
        <w:numId w:val="3"/>
      </w:numPr>
      <w:spacing w:before="120" w:line="240" w:lineRule="auto"/>
      <w:outlineLvl w:val="0"/>
    </w:pPr>
    <w:rPr>
      <w:b/>
      <w:bCs/>
      <w:kern w:val="32"/>
      <w:sz w:val="28"/>
      <w:szCs w:val="32"/>
    </w:rPr>
  </w:style>
  <w:style w:type="paragraph" w:styleId="Overskrift2">
    <w:name w:val="heading 2"/>
    <w:basedOn w:val="Overskrift1"/>
    <w:next w:val="Normal"/>
    <w:link w:val="Overskrift2Tegn"/>
    <w:qFormat/>
    <w:rsid w:val="00001320"/>
    <w:pPr>
      <w:numPr>
        <w:ilvl w:val="1"/>
      </w:numPr>
      <w:outlineLvl w:val="1"/>
    </w:pPr>
    <w:rPr>
      <w:rFonts w:cs="Arial"/>
      <w:b w:val="0"/>
      <w:bCs w:val="0"/>
      <w:iCs/>
      <w:sz w:val="24"/>
      <w:szCs w:val="28"/>
      <w:lang w:val="en-US"/>
    </w:rPr>
  </w:style>
  <w:style w:type="paragraph" w:styleId="Overskrift3">
    <w:name w:val="heading 3"/>
    <w:basedOn w:val="Normal"/>
    <w:next w:val="Normal"/>
    <w:link w:val="Overskrift3Tegn"/>
    <w:rsid w:val="00946375"/>
    <w:pPr>
      <w:keepNext/>
      <w:spacing w:before="240" w:after="60"/>
      <w:outlineLvl w:val="2"/>
    </w:pPr>
    <w:rPr>
      <w:b/>
      <w:bCs/>
      <w:sz w:val="22"/>
      <w:szCs w:val="26"/>
    </w:rPr>
  </w:style>
  <w:style w:type="paragraph" w:styleId="Overskrift4">
    <w:name w:val="heading 4"/>
    <w:basedOn w:val="Normal"/>
    <w:next w:val="Normal"/>
    <w:link w:val="Overskrift4Tegn"/>
    <w:rsid w:val="00001320"/>
    <w:pPr>
      <w:keepNext/>
      <w:numPr>
        <w:ilvl w:val="3"/>
        <w:numId w:val="3"/>
      </w:numPr>
      <w:spacing w:before="240" w:after="60"/>
      <w:outlineLvl w:val="3"/>
    </w:pPr>
    <w:rPr>
      <w:rFonts w:ascii="Cambria" w:hAnsi="Cambria"/>
      <w:b/>
      <w:bCs/>
      <w:sz w:val="28"/>
      <w:szCs w:val="28"/>
    </w:rPr>
  </w:style>
  <w:style w:type="paragraph" w:styleId="Overskrift5">
    <w:name w:val="heading 5"/>
    <w:basedOn w:val="Normal"/>
    <w:next w:val="Normal"/>
    <w:link w:val="Overskrift5Tegn"/>
    <w:rsid w:val="00001320"/>
    <w:pPr>
      <w:numPr>
        <w:ilvl w:val="4"/>
        <w:numId w:val="3"/>
      </w:numPr>
      <w:spacing w:before="240" w:after="60"/>
      <w:outlineLvl w:val="4"/>
    </w:pPr>
    <w:rPr>
      <w:rFonts w:ascii="Cambria" w:hAnsi="Cambria"/>
      <w:b/>
      <w:bCs/>
      <w:i/>
      <w:iCs/>
      <w:sz w:val="26"/>
      <w:szCs w:val="26"/>
    </w:rPr>
  </w:style>
  <w:style w:type="paragraph" w:styleId="Overskrift6">
    <w:name w:val="heading 6"/>
    <w:basedOn w:val="Normal"/>
    <w:next w:val="Normal"/>
    <w:link w:val="Overskrift6Tegn"/>
    <w:rsid w:val="00001320"/>
    <w:pPr>
      <w:numPr>
        <w:ilvl w:val="5"/>
        <w:numId w:val="3"/>
      </w:numPr>
      <w:spacing w:before="240" w:after="60"/>
      <w:outlineLvl w:val="5"/>
    </w:pPr>
    <w:rPr>
      <w:rFonts w:ascii="Cambria" w:hAnsi="Cambria"/>
      <w:b/>
      <w:bCs/>
      <w:szCs w:val="22"/>
    </w:rPr>
  </w:style>
  <w:style w:type="paragraph" w:styleId="Overskrift7">
    <w:name w:val="heading 7"/>
    <w:basedOn w:val="Normal"/>
    <w:next w:val="Normal"/>
    <w:link w:val="Overskrift7Tegn"/>
    <w:rsid w:val="00001320"/>
    <w:pPr>
      <w:numPr>
        <w:ilvl w:val="6"/>
        <w:numId w:val="3"/>
      </w:numPr>
      <w:spacing w:before="240" w:after="60"/>
      <w:outlineLvl w:val="6"/>
    </w:pPr>
    <w:rPr>
      <w:rFonts w:ascii="Cambria" w:hAnsi="Cambria"/>
      <w:sz w:val="24"/>
    </w:rPr>
  </w:style>
  <w:style w:type="paragraph" w:styleId="Overskrift8">
    <w:name w:val="heading 8"/>
    <w:basedOn w:val="Normal"/>
    <w:next w:val="Normal"/>
    <w:link w:val="Overskrift8Tegn"/>
    <w:rsid w:val="00001320"/>
    <w:pPr>
      <w:numPr>
        <w:ilvl w:val="7"/>
        <w:numId w:val="3"/>
      </w:numPr>
      <w:spacing w:before="240" w:after="60"/>
      <w:outlineLvl w:val="7"/>
    </w:pPr>
    <w:rPr>
      <w:rFonts w:ascii="Cambria" w:hAnsi="Cambria"/>
      <w:i/>
      <w:iCs/>
      <w:sz w:val="24"/>
    </w:rPr>
  </w:style>
  <w:style w:type="paragraph" w:styleId="Overskrift9">
    <w:name w:val="heading 9"/>
    <w:basedOn w:val="Normal"/>
    <w:next w:val="Normal"/>
    <w:link w:val="Overskrift9Tegn"/>
    <w:rsid w:val="00001320"/>
    <w:pPr>
      <w:numPr>
        <w:ilvl w:val="8"/>
        <w:numId w:val="3"/>
      </w:numPr>
      <w:spacing w:before="240" w:after="60"/>
      <w:outlineLvl w:val="8"/>
    </w:pPr>
    <w:rPr>
      <w:rFonts w:ascii="Calibri" w:hAnsi="Calibri"/>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001320"/>
    <w:rPr>
      <w:rFonts w:ascii="Verdana" w:hAnsi="Verdana" w:cs="Arial"/>
      <w:iCs/>
      <w:kern w:val="32"/>
      <w:szCs w:val="28"/>
      <w:lang w:eastAsia="en-US"/>
    </w:rPr>
  </w:style>
  <w:style w:type="character" w:styleId="Sidetall">
    <w:name w:val="page number"/>
    <w:aliases w:val="ESPON Page No"/>
    <w:basedOn w:val="Standardskriftforavsnitt"/>
    <w:rsid w:val="00A15B61"/>
  </w:style>
  <w:style w:type="character" w:styleId="Hyperkobling">
    <w:name w:val="Hyperlink"/>
    <w:basedOn w:val="Standardskriftforav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Topptekst">
    <w:name w:val="header"/>
    <w:basedOn w:val="Normal"/>
    <w:rsid w:val="00A15B61"/>
    <w:pPr>
      <w:tabs>
        <w:tab w:val="center" w:pos="4320"/>
        <w:tab w:val="right" w:pos="8640"/>
      </w:tabs>
    </w:pPr>
  </w:style>
  <w:style w:type="paragraph" w:styleId="Bunntekst">
    <w:name w:val="footer"/>
    <w:basedOn w:val="Normal"/>
    <w:link w:val="BunntekstTegn"/>
    <w:rsid w:val="00A15B61"/>
    <w:pPr>
      <w:tabs>
        <w:tab w:val="center" w:pos="4320"/>
        <w:tab w:val="right" w:pos="8640"/>
      </w:tabs>
    </w:pPr>
  </w:style>
  <w:style w:type="table" w:styleId="Tabellrutenett">
    <w:name w:val="Table Grid"/>
    <w:basedOn w:val="Vanlig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721B03"/>
    <w:rPr>
      <w:rFonts w:ascii="Tahoma" w:hAnsi="Tahoma" w:cs="Tahoma"/>
      <w:sz w:val="16"/>
      <w:szCs w:val="16"/>
    </w:rPr>
  </w:style>
  <w:style w:type="character" w:customStyle="1" w:styleId="BobletekstTegn">
    <w:name w:val="Bobletekst Tegn"/>
    <w:basedOn w:val="Standardskriftforavsnitt"/>
    <w:link w:val="Bobletekst"/>
    <w:uiPriority w:val="99"/>
    <w:semiHidden/>
    <w:rsid w:val="00721B03"/>
    <w:rPr>
      <w:rFonts w:ascii="Tahoma" w:hAnsi="Tahoma" w:cs="Tahoma"/>
      <w:sz w:val="16"/>
      <w:szCs w:val="16"/>
      <w:lang w:val="en-GB"/>
    </w:rPr>
  </w:style>
  <w:style w:type="character" w:styleId="Fotnotereferanse">
    <w:name w:val="footnote reference"/>
    <w:basedOn w:val="Standardskriftforavsnitt"/>
    <w:semiHidden/>
    <w:rsid w:val="00C47ADC"/>
    <w:rPr>
      <w:sz w:val="20"/>
      <w:vertAlign w:val="superscript"/>
    </w:rPr>
  </w:style>
  <w:style w:type="paragraph" w:styleId="Fotnotetekst">
    <w:name w:val="footnote text"/>
    <w:link w:val="FotnotetekstTegn"/>
    <w:semiHidden/>
    <w:rsid w:val="00FD6260"/>
    <w:pPr>
      <w:jc w:val="both"/>
    </w:pPr>
    <w:rPr>
      <w:rFonts w:ascii="Arial" w:hAnsi="Arial"/>
      <w:sz w:val="18"/>
      <w:lang w:val="en-GB" w:eastAsia="en-US"/>
    </w:rPr>
  </w:style>
  <w:style w:type="character" w:customStyle="1" w:styleId="FotnotetekstTegn">
    <w:name w:val="Fotnotetekst Tegn"/>
    <w:basedOn w:val="Standardskriftforavsnitt"/>
    <w:link w:val="Fotnoteteks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BunntekstTegn">
    <w:name w:val="Bunntekst Tegn"/>
    <w:basedOn w:val="Standardskriftforavsnitt"/>
    <w:link w:val="Bunntekst"/>
    <w:rsid w:val="0047467F"/>
    <w:rPr>
      <w:rFonts w:ascii="Verdana" w:hAnsi="Verdana"/>
      <w:sz w:val="24"/>
      <w:szCs w:val="24"/>
      <w:lang w:val="en-GB"/>
    </w:rPr>
  </w:style>
  <w:style w:type="character" w:customStyle="1" w:styleId="Overskrift1Tegn">
    <w:name w:val="Overskrift 1 Tegn"/>
    <w:basedOn w:val="Standardskriftforavsnitt"/>
    <w:link w:val="Overskrift1"/>
    <w:rsid w:val="00001320"/>
    <w:rPr>
      <w:rFonts w:ascii="Verdana" w:hAnsi="Verdana"/>
      <w:b/>
      <w:bCs/>
      <w:kern w:val="32"/>
      <w:sz w:val="28"/>
      <w:szCs w:val="32"/>
      <w:lang w:val="en-GB" w:eastAsia="en-US"/>
    </w:rPr>
  </w:style>
  <w:style w:type="character" w:customStyle="1" w:styleId="Overskrift3Tegn">
    <w:name w:val="Overskrift 3 Tegn"/>
    <w:basedOn w:val="Standardskriftforavsnitt"/>
    <w:link w:val="Overskrift3"/>
    <w:rsid w:val="00946375"/>
    <w:rPr>
      <w:rFonts w:ascii="Verdana" w:hAnsi="Verdana"/>
      <w:b/>
      <w:bCs/>
      <w:sz w:val="22"/>
      <w:szCs w:val="26"/>
      <w:lang w:val="en-GB" w:eastAsia="en-US"/>
    </w:rPr>
  </w:style>
  <w:style w:type="character" w:customStyle="1" w:styleId="Overskrift4Tegn">
    <w:name w:val="Overskrift 4 Tegn"/>
    <w:basedOn w:val="Standardskriftforavsnitt"/>
    <w:link w:val="Overskrift4"/>
    <w:rsid w:val="00001320"/>
    <w:rPr>
      <w:rFonts w:ascii="Cambria" w:hAnsi="Cambria"/>
      <w:b/>
      <w:bCs/>
      <w:sz w:val="28"/>
      <w:szCs w:val="28"/>
      <w:lang w:val="en-GB" w:eastAsia="en-US"/>
    </w:rPr>
  </w:style>
  <w:style w:type="character" w:customStyle="1" w:styleId="Overskrift5Tegn">
    <w:name w:val="Overskrift 5 Tegn"/>
    <w:basedOn w:val="Standardskriftforavsnitt"/>
    <w:link w:val="Overskrift5"/>
    <w:rsid w:val="00001320"/>
    <w:rPr>
      <w:rFonts w:ascii="Cambria" w:hAnsi="Cambria"/>
      <w:b/>
      <w:bCs/>
      <w:i/>
      <w:iCs/>
      <w:sz w:val="26"/>
      <w:szCs w:val="26"/>
      <w:lang w:val="en-GB" w:eastAsia="en-US"/>
    </w:rPr>
  </w:style>
  <w:style w:type="character" w:customStyle="1" w:styleId="Overskrift6Tegn">
    <w:name w:val="Overskrift 6 Tegn"/>
    <w:basedOn w:val="Standardskriftforavsnitt"/>
    <w:link w:val="Overskrift6"/>
    <w:rsid w:val="00001320"/>
    <w:rPr>
      <w:rFonts w:ascii="Cambria" w:hAnsi="Cambria"/>
      <w:b/>
      <w:bCs/>
      <w:sz w:val="20"/>
      <w:szCs w:val="22"/>
      <w:lang w:val="en-GB" w:eastAsia="en-US"/>
    </w:rPr>
  </w:style>
  <w:style w:type="character" w:customStyle="1" w:styleId="Overskrift7Tegn">
    <w:name w:val="Overskrift 7 Tegn"/>
    <w:basedOn w:val="Standardskriftforavsnitt"/>
    <w:link w:val="Overskrift7"/>
    <w:rsid w:val="00001320"/>
    <w:rPr>
      <w:rFonts w:ascii="Cambria" w:hAnsi="Cambria"/>
      <w:lang w:val="en-GB" w:eastAsia="en-US"/>
    </w:rPr>
  </w:style>
  <w:style w:type="character" w:customStyle="1" w:styleId="Overskrift8Tegn">
    <w:name w:val="Overskrift 8 Tegn"/>
    <w:basedOn w:val="Standardskriftforavsnitt"/>
    <w:link w:val="Overskrift8"/>
    <w:rsid w:val="00001320"/>
    <w:rPr>
      <w:rFonts w:ascii="Cambria" w:hAnsi="Cambria"/>
      <w:i/>
      <w:iCs/>
      <w:lang w:val="en-GB" w:eastAsia="en-US"/>
    </w:rPr>
  </w:style>
  <w:style w:type="character" w:customStyle="1" w:styleId="Overskrift9Tegn">
    <w:name w:val="Overskrift 9 Tegn"/>
    <w:basedOn w:val="Standardskriftforavsnitt"/>
    <w:link w:val="Overskrift9"/>
    <w:rsid w:val="00001320"/>
    <w:rPr>
      <w:rFonts w:ascii="Calibri" w:hAnsi="Calibri"/>
      <w:sz w:val="20"/>
      <w:szCs w:val="22"/>
      <w:lang w:val="en-GB" w:eastAsia="en-US"/>
    </w:rPr>
  </w:style>
  <w:style w:type="paragraph" w:styleId="Listeavsnitt">
    <w:name w:val="List Paragraph"/>
    <w:basedOn w:val="Normal"/>
    <w:qFormat/>
    <w:rsid w:val="00B969F0"/>
    <w:pPr>
      <w:ind w:left="720"/>
      <w:contextualSpacing/>
    </w:pPr>
  </w:style>
  <w:style w:type="character" w:styleId="Merknadsreferanse">
    <w:name w:val="annotation reference"/>
    <w:basedOn w:val="Standardskriftforavsnitt"/>
    <w:rsid w:val="004933BE"/>
    <w:rPr>
      <w:sz w:val="16"/>
      <w:szCs w:val="16"/>
    </w:rPr>
  </w:style>
  <w:style w:type="paragraph" w:styleId="Merknadstekst">
    <w:name w:val="annotation text"/>
    <w:basedOn w:val="Normal"/>
    <w:link w:val="MerknadstekstTegn"/>
    <w:rsid w:val="004933BE"/>
    <w:pPr>
      <w:spacing w:line="240" w:lineRule="auto"/>
    </w:pPr>
    <w:rPr>
      <w:szCs w:val="20"/>
    </w:rPr>
  </w:style>
  <w:style w:type="character" w:customStyle="1" w:styleId="MerknadstekstTegn">
    <w:name w:val="Merknadstekst Tegn"/>
    <w:basedOn w:val="Standardskriftforavsnitt"/>
    <w:link w:val="Merknadstekst"/>
    <w:rsid w:val="004933BE"/>
    <w:rPr>
      <w:rFonts w:ascii="Verdana" w:hAnsi="Verdana"/>
      <w:sz w:val="20"/>
      <w:szCs w:val="20"/>
      <w:lang w:val="en-GB" w:eastAsia="en-US"/>
    </w:rPr>
  </w:style>
  <w:style w:type="paragraph" w:styleId="Kommentaremne">
    <w:name w:val="annotation subject"/>
    <w:basedOn w:val="Merknadstekst"/>
    <w:next w:val="Merknadstekst"/>
    <w:link w:val="KommentaremneTegn"/>
    <w:rsid w:val="004933BE"/>
    <w:rPr>
      <w:b/>
      <w:bCs/>
    </w:rPr>
  </w:style>
  <w:style w:type="character" w:customStyle="1" w:styleId="KommentaremneTegn">
    <w:name w:val="Kommentaremne Tegn"/>
    <w:basedOn w:val="MerknadstekstTegn"/>
    <w:link w:val="Kommentare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ildetekst">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jon">
    <w:name w:val="Revision"/>
    <w:hidden/>
    <w:rsid w:val="00086387"/>
    <w:rPr>
      <w:rFonts w:ascii="Verdana" w:hAnsi="Verdana"/>
      <w:sz w:val="20"/>
      <w:lang w:val="en-GB" w:eastAsia="en-US"/>
    </w:rPr>
  </w:style>
  <w:style w:type="character" w:styleId="Fulgthyperkobling">
    <w:name w:val="FollowedHyperlink"/>
    <w:basedOn w:val="Standardskriftforavsnitt"/>
    <w:rsid w:val="00A02FD6"/>
    <w:rPr>
      <w:color w:val="800080" w:themeColor="followedHyperlink"/>
      <w:u w:val="single"/>
    </w:rPr>
  </w:style>
  <w:style w:type="character" w:customStyle="1" w:styleId="apple-converted-space">
    <w:name w:val="apple-converted-space"/>
    <w:basedOn w:val="Standardskriftforavsnitt"/>
    <w:rsid w:val="00654361"/>
  </w:style>
  <w:style w:type="character" w:customStyle="1" w:styleId="hps">
    <w:name w:val="hps"/>
    <w:basedOn w:val="Standardskriftforavsnit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43433956">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989170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pp.eurostat.ec.europa.eu/portal/page/portal/eurostat/hom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pon.eu/main/Menu_Projects/"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B41BCEF2-32CD-4FA2-BAE7-EA71C6DD2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2988</Words>
  <Characters>15842</Characters>
  <Application>Microsoft Office Word</Application>
  <DocSecurity>4</DocSecurity>
  <Lines>132</Lines>
  <Paragraphs>37</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18793</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Testbruker</cp:lastModifiedBy>
  <cp:revision>2</cp:revision>
  <cp:lastPrinted>2012-10-24T10:58:00Z</cp:lastPrinted>
  <dcterms:created xsi:type="dcterms:W3CDTF">2013-02-28T09:24:00Z</dcterms:created>
  <dcterms:modified xsi:type="dcterms:W3CDTF">2013-02-28T09:24:00Z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